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489B" w14:textId="77777777"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14:paraId="30881D0E" w14:textId="77777777"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14:paraId="70CF6525" w14:textId="77777777" w:rsidR="00452F27" w:rsidRPr="006663A8" w:rsidRDefault="00452F27" w:rsidP="00452F27">
      <w:pPr>
        <w:tabs>
          <w:tab w:val="left" w:pos="453"/>
          <w:tab w:val="left" w:pos="6237"/>
        </w:tabs>
        <w:jc w:val="center"/>
        <w:rPr>
          <w:rFonts w:ascii="Arial" w:hAnsi="Arial"/>
          <w:bCs/>
          <w:snapToGrid w:val="0"/>
          <w:sz w:val="24"/>
        </w:rPr>
      </w:pPr>
    </w:p>
    <w:p w14:paraId="5F682C15" w14:textId="2C257756" w:rsidR="00452F27" w:rsidRDefault="0065035D"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bookmarkStart w:id="0" w:name="Elenco8"/>
      <w:r>
        <w:rPr>
          <w:rFonts w:ascii="Arial" w:hAnsi="Arial"/>
          <w:bCs/>
          <w:snapToGrid w:val="0"/>
          <w:sz w:val="28"/>
        </w:rPr>
        <w:instrText xml:space="preserve"> FORMDROPDOWN </w:instrText>
      </w:r>
      <w:r w:rsidR="00000000">
        <w:rPr>
          <w:rFonts w:ascii="Arial" w:hAnsi="Arial"/>
          <w:bCs/>
          <w:snapToGrid w:val="0"/>
          <w:sz w:val="28"/>
        </w:rPr>
      </w:r>
      <w:r w:rsidR="00000000">
        <w:rPr>
          <w:rFonts w:ascii="Arial" w:hAnsi="Arial"/>
          <w:bCs/>
          <w:snapToGrid w:val="0"/>
          <w:sz w:val="28"/>
        </w:rPr>
        <w:fldChar w:fldCharType="separate"/>
      </w:r>
      <w:r>
        <w:rPr>
          <w:rFonts w:ascii="Arial" w:hAnsi="Arial"/>
          <w:bCs/>
          <w:snapToGrid w:val="0"/>
          <w:sz w:val="28"/>
        </w:rPr>
        <w:fldChar w:fldCharType="end"/>
      </w:r>
      <w:bookmarkEnd w:id="0"/>
    </w:p>
    <w:p w14:paraId="3A701458" w14:textId="77777777" w:rsidR="00A8392F" w:rsidRDefault="00A8392F" w:rsidP="00452F27">
      <w:pPr>
        <w:tabs>
          <w:tab w:val="left" w:pos="453"/>
          <w:tab w:val="left" w:pos="6237"/>
        </w:tabs>
        <w:jc w:val="right"/>
        <w:rPr>
          <w:rFonts w:ascii="Arial" w:hAnsi="Arial"/>
          <w:bCs/>
          <w:snapToGrid w:val="0"/>
          <w:sz w:val="28"/>
        </w:rPr>
      </w:pPr>
    </w:p>
    <w:p w14:paraId="78C95154" w14:textId="77777777" w:rsidR="00452F27" w:rsidRPr="006663A8" w:rsidRDefault="00452F27" w:rsidP="00452F27">
      <w:pPr>
        <w:tabs>
          <w:tab w:val="left" w:pos="453"/>
          <w:tab w:val="left" w:pos="6237"/>
        </w:tabs>
        <w:jc w:val="both"/>
        <w:rPr>
          <w:rFonts w:ascii="Arial" w:hAnsi="Arial"/>
          <w:bCs/>
          <w:snapToGrid w:val="0"/>
          <w:sz w:val="24"/>
        </w:rPr>
      </w:pPr>
    </w:p>
    <w:p w14:paraId="5E41E9CB" w14:textId="77777777"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14:paraId="21B2E857" w14:textId="09E2F439" w:rsidR="00BA3107" w:rsidRPr="006663A8" w:rsidRDefault="00452F27" w:rsidP="00452F27">
      <w:pPr>
        <w:jc w:val="both"/>
        <w:rPr>
          <w:b/>
          <w:sz w:val="24"/>
          <w:szCs w:val="24"/>
        </w:rPr>
      </w:pPr>
      <w:r w:rsidRPr="006663A8">
        <w:rPr>
          <w:b/>
          <w:sz w:val="24"/>
          <w:szCs w:val="24"/>
        </w:rPr>
        <w:t>N</w:t>
      </w:r>
      <w:r w:rsidR="006B55B3">
        <w:rPr>
          <w:b/>
          <w:sz w:val="24"/>
          <w:szCs w:val="24"/>
        </w:rPr>
        <w:t xml:space="preserve"> </w:t>
      </w:r>
      <w:r w:rsidR="00AB48F7">
        <w:rPr>
          <w:b/>
          <w:sz w:val="24"/>
          <w:szCs w:val="24"/>
        </w:rPr>
        <w:t>1</w:t>
      </w:r>
      <w:r w:rsidR="00746F97">
        <w:rPr>
          <w:b/>
          <w:sz w:val="24"/>
          <w:szCs w:val="24"/>
        </w:rPr>
        <w:t>4</w:t>
      </w:r>
    </w:p>
    <w:p w14:paraId="6788120B" w14:textId="3D7288F2" w:rsidR="008135DB" w:rsidRDefault="00452F27" w:rsidP="008135DB">
      <w:pPr>
        <w:rPr>
          <w:rFonts w:ascii="Arial" w:hAnsi="Arial"/>
          <w:b/>
          <w:bCs/>
          <w:snapToGrid w:val="0"/>
          <w:sz w:val="28"/>
        </w:rPr>
      </w:pPr>
      <w:r w:rsidRPr="006800F0">
        <w:rPr>
          <w:rFonts w:ascii="Arial" w:hAnsi="Arial"/>
          <w:b/>
          <w:bCs/>
          <w:snapToGrid w:val="0"/>
          <w:sz w:val="28"/>
        </w:rPr>
        <w:t>DEL</w:t>
      </w:r>
      <w:r w:rsidR="006B55B3">
        <w:rPr>
          <w:rFonts w:ascii="Arial" w:hAnsi="Arial"/>
          <w:b/>
          <w:bCs/>
          <w:snapToGrid w:val="0"/>
          <w:sz w:val="28"/>
        </w:rPr>
        <w:t xml:space="preserve"> </w:t>
      </w:r>
      <w:r w:rsidR="00A03285">
        <w:rPr>
          <w:rFonts w:ascii="Arial" w:hAnsi="Arial"/>
          <w:b/>
          <w:bCs/>
          <w:snapToGrid w:val="0"/>
          <w:sz w:val="28"/>
        </w:rPr>
        <w:t xml:space="preserve"> </w:t>
      </w:r>
      <w:r w:rsidR="00BC152A">
        <w:rPr>
          <w:rFonts w:ascii="Arial" w:hAnsi="Arial"/>
          <w:b/>
          <w:bCs/>
          <w:snapToGrid w:val="0"/>
          <w:sz w:val="28"/>
        </w:rPr>
        <w:t>20</w:t>
      </w:r>
      <w:r w:rsidR="00746F97">
        <w:rPr>
          <w:rFonts w:ascii="Arial" w:hAnsi="Arial"/>
          <w:b/>
          <w:bCs/>
          <w:snapToGrid w:val="0"/>
          <w:sz w:val="28"/>
        </w:rPr>
        <w:t>/03/2023</w:t>
      </w:r>
      <w:r w:rsidRPr="006800F0">
        <w:rPr>
          <w:rFonts w:ascii="Arial" w:hAnsi="Arial"/>
          <w:b/>
          <w:bCs/>
          <w:snapToGrid w:val="0"/>
          <w:sz w:val="28"/>
        </w:rPr>
        <w:t xml:space="preserve"> </w:t>
      </w:r>
      <w:r w:rsidR="008135DB">
        <w:rPr>
          <w:rFonts w:ascii="Arial" w:hAnsi="Arial"/>
          <w:b/>
          <w:bCs/>
          <w:snapToGrid w:val="0"/>
          <w:sz w:val="28"/>
        </w:rPr>
        <w:t xml:space="preserve"> </w:t>
      </w:r>
    </w:p>
    <w:p w14:paraId="6A2911ED" w14:textId="77777777" w:rsidR="008135DB" w:rsidRDefault="008135DB" w:rsidP="008135DB">
      <w:pPr>
        <w:rPr>
          <w:rFonts w:ascii="Arial" w:hAnsi="Arial"/>
          <w:b/>
          <w:bCs/>
          <w:snapToGrid w:val="0"/>
          <w:sz w:val="28"/>
        </w:rPr>
      </w:pPr>
    </w:p>
    <w:p w14:paraId="79D94961" w14:textId="307D8027" w:rsidR="00051A18" w:rsidRDefault="008135DB" w:rsidP="00051A18">
      <w:pPr>
        <w:spacing w:line="260" w:lineRule="exact"/>
        <w:jc w:val="both"/>
        <w:rPr>
          <w:rFonts w:ascii="Arial" w:hAnsi="Arial"/>
          <w:i/>
          <w:sz w:val="22"/>
        </w:rPr>
      </w:pPr>
      <w:r>
        <w:rPr>
          <w:rFonts w:ascii="Arial" w:hAnsi="Arial"/>
          <w:bCs/>
          <w:snapToGrid w:val="0"/>
          <w:sz w:val="28"/>
        </w:rPr>
        <w:t>OGGETTO</w:t>
      </w:r>
      <w:r w:rsidRPr="00755E75">
        <w:rPr>
          <w:rFonts w:ascii="Arial" w:hAnsi="Arial" w:cs="Arial"/>
          <w:bCs/>
          <w:snapToGrid w:val="0"/>
          <w:sz w:val="24"/>
          <w:szCs w:val="24"/>
        </w:rPr>
        <w:t>:</w:t>
      </w:r>
      <w:r w:rsidR="00C44EB2" w:rsidRPr="00755E75">
        <w:rPr>
          <w:rFonts w:ascii="Arial" w:hAnsi="Arial" w:cs="Arial"/>
          <w:bCs/>
          <w:snapToGrid w:val="0"/>
          <w:sz w:val="24"/>
          <w:szCs w:val="24"/>
        </w:rPr>
        <w:t xml:space="preserve"> </w:t>
      </w:r>
      <w:r w:rsidR="00781507">
        <w:rPr>
          <w:rFonts w:ascii="Arial" w:hAnsi="Arial" w:cs="Arial"/>
          <w:bCs/>
          <w:snapToGrid w:val="0"/>
          <w:sz w:val="24"/>
          <w:szCs w:val="24"/>
        </w:rPr>
        <w:t>APPROVAZIONE TARIFFE PER L’APPLICAZIONE DEL CANONE PATRIMONIALE DI CONCESSIONE, AUTORIZZAZIONE O ESPOSIZIONE PUBBLICITARIA E DEL CANONE MERCATALE – ANNO 2023</w:t>
      </w:r>
      <w:r w:rsidR="00051A18">
        <w:rPr>
          <w:rFonts w:ascii="Arial" w:hAnsi="Arial"/>
          <w:b/>
          <w:sz w:val="22"/>
        </w:rPr>
        <w:t>3</w:t>
      </w:r>
      <w:r w:rsidR="00051A18">
        <w:rPr>
          <w:rFonts w:ascii="Arial" w:hAnsi="Arial"/>
          <w:i/>
          <w:sz w:val="22"/>
        </w:rPr>
        <w:t>.</w:t>
      </w:r>
    </w:p>
    <w:p w14:paraId="50654C42" w14:textId="77777777" w:rsidR="00C654F0" w:rsidRPr="004402B9" w:rsidRDefault="00C654F0" w:rsidP="00C654F0">
      <w:pPr>
        <w:tabs>
          <w:tab w:val="left" w:pos="453"/>
          <w:tab w:val="left" w:pos="6237"/>
        </w:tabs>
        <w:jc w:val="both"/>
        <w:rPr>
          <w:rFonts w:ascii="Arial" w:hAnsi="Arial" w:cs="Arial"/>
          <w:b/>
          <w:sz w:val="24"/>
          <w:szCs w:val="24"/>
        </w:rPr>
      </w:pPr>
    </w:p>
    <w:p w14:paraId="592B7205" w14:textId="335DE693" w:rsidR="00452F27" w:rsidRPr="00BA3107" w:rsidRDefault="00452F27" w:rsidP="00452F27">
      <w:pPr>
        <w:pStyle w:val="Titolo1"/>
        <w:rPr>
          <w:rFonts w:ascii="Arial" w:hAnsi="Arial" w:cs="Arial"/>
        </w:rPr>
      </w:pPr>
      <w:r w:rsidRPr="00BA3107">
        <w:rPr>
          <w:rFonts w:ascii="Arial" w:hAnsi="Arial" w:cs="Arial"/>
        </w:rPr>
        <w:t xml:space="preserve">L’anno </w:t>
      </w:r>
      <w:proofErr w:type="gramStart"/>
      <w:r w:rsidRPr="00BA3107">
        <w:rPr>
          <w:rFonts w:ascii="Arial" w:hAnsi="Arial" w:cs="Arial"/>
          <w:b/>
        </w:rPr>
        <w:t>DUEMILA</w:t>
      </w:r>
      <w:r w:rsidR="00393374">
        <w:rPr>
          <w:rFonts w:ascii="Arial" w:hAnsi="Arial" w:cs="Arial"/>
          <w:b/>
        </w:rPr>
        <w:t>VENTI</w:t>
      </w:r>
      <w:r w:rsidR="00A03285">
        <w:rPr>
          <w:rFonts w:ascii="Arial" w:hAnsi="Arial" w:cs="Arial"/>
          <w:b/>
        </w:rPr>
        <w:t>TRE</w:t>
      </w:r>
      <w:r w:rsidR="00A057C9">
        <w:rPr>
          <w:rFonts w:ascii="Arial" w:hAnsi="Arial" w:cs="Arial"/>
          <w:b/>
        </w:rPr>
        <w:t xml:space="preserve"> </w:t>
      </w:r>
      <w:r w:rsidRPr="00BA3107">
        <w:rPr>
          <w:rFonts w:ascii="Arial" w:hAnsi="Arial" w:cs="Arial"/>
        </w:rPr>
        <w:t xml:space="preserve"> il</w:t>
      </w:r>
      <w:proofErr w:type="gramEnd"/>
      <w:r w:rsidRPr="00BA3107">
        <w:rPr>
          <w:rFonts w:ascii="Arial" w:hAnsi="Arial" w:cs="Arial"/>
        </w:rPr>
        <w:t xml:space="preserve">  giorno  </w:t>
      </w:r>
      <w:r w:rsidR="002D4C1B">
        <w:rPr>
          <w:rFonts w:ascii="Arial" w:hAnsi="Arial" w:cs="Arial"/>
        </w:rPr>
        <w:t>20</w:t>
      </w:r>
      <w:r w:rsidR="001B42B8">
        <w:rPr>
          <w:rFonts w:ascii="Arial" w:hAnsi="Arial" w:cs="Arial"/>
        </w:rPr>
        <w:t xml:space="preserve"> </w:t>
      </w:r>
      <w:r w:rsidR="001306C0">
        <w:rPr>
          <w:rFonts w:ascii="Arial" w:hAnsi="Arial" w:cs="Arial"/>
          <w:b/>
        </w:rPr>
        <w:t>d</w:t>
      </w:r>
      <w:r w:rsidRPr="00BA3107">
        <w:rPr>
          <w:rFonts w:ascii="Arial" w:hAnsi="Arial" w:cs="Arial"/>
        </w:rPr>
        <w:t>el mese  di</w:t>
      </w:r>
      <w:r w:rsidR="008F77F9" w:rsidRPr="008F77F9">
        <w:rPr>
          <w:rFonts w:ascii="Arial" w:hAnsi="Arial" w:cs="Arial"/>
          <w:b/>
        </w:rPr>
        <w:t xml:space="preserve"> </w:t>
      </w:r>
      <w:r w:rsidR="00051A18">
        <w:rPr>
          <w:rFonts w:ascii="Arial" w:hAnsi="Arial" w:cs="Arial"/>
          <w:b/>
        </w:rPr>
        <w:t xml:space="preserve">MARZO </w:t>
      </w:r>
      <w:r w:rsidR="00393374">
        <w:rPr>
          <w:rFonts w:ascii="Arial" w:hAnsi="Arial" w:cs="Arial"/>
          <w:b/>
        </w:rPr>
        <w:t xml:space="preserve"> </w:t>
      </w:r>
      <w:r w:rsidR="004101A5">
        <w:rPr>
          <w:rFonts w:ascii="Arial" w:hAnsi="Arial" w:cs="Arial"/>
          <w:b/>
        </w:rPr>
        <w:t xml:space="preserve"> </w:t>
      </w:r>
      <w:r w:rsidRPr="00BA3107">
        <w:rPr>
          <w:rFonts w:ascii="Arial" w:hAnsi="Arial" w:cs="Arial"/>
          <w:b/>
        </w:rPr>
        <w:t xml:space="preserve">alle </w:t>
      </w:r>
      <w:r w:rsidR="00964DEB">
        <w:rPr>
          <w:rFonts w:ascii="Arial" w:hAnsi="Arial" w:cs="Arial"/>
          <w:b/>
        </w:rPr>
        <w:t xml:space="preserve"> </w:t>
      </w:r>
      <w:r w:rsidR="001D6964">
        <w:rPr>
          <w:rFonts w:ascii="Arial" w:hAnsi="Arial" w:cs="Arial"/>
          <w:b/>
        </w:rPr>
        <w:t>1</w:t>
      </w:r>
      <w:r w:rsidR="00A43D6B">
        <w:rPr>
          <w:rFonts w:ascii="Arial" w:hAnsi="Arial" w:cs="Arial"/>
          <w:b/>
        </w:rPr>
        <w:t>7</w:t>
      </w:r>
      <w:r w:rsidR="001F2C3F">
        <w:rPr>
          <w:rFonts w:ascii="Arial" w:hAnsi="Arial" w:cs="Arial"/>
          <w:b/>
        </w:rPr>
        <w:t>,</w:t>
      </w:r>
      <w:r w:rsidR="00A43D6B">
        <w:rPr>
          <w:rFonts w:ascii="Arial" w:hAnsi="Arial" w:cs="Arial"/>
          <w:b/>
        </w:rPr>
        <w:t>00</w:t>
      </w:r>
      <w:r w:rsidRPr="00BA3107">
        <w:rPr>
          <w:rFonts w:ascii="Arial" w:hAnsi="Arial" w:cs="Arial"/>
        </w:rPr>
        <w:t xml:space="preserve">,  nella sala delle adunanze del Comune  suddetto, convocata con appositi avvisi, la Giunta comunale si è riunita con la presenza dei Signori:    </w:t>
      </w:r>
    </w:p>
    <w:p w14:paraId="72C1FD35" w14:textId="77777777"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14:paraId="171BE0D4" w14:textId="77777777"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14:paraId="7110363D" w14:textId="77777777" w:rsidTr="00FD0277">
        <w:trPr>
          <w:trHeight w:val="395"/>
        </w:trPr>
        <w:tc>
          <w:tcPr>
            <w:tcW w:w="5173" w:type="dxa"/>
          </w:tcPr>
          <w:p w14:paraId="238CE12F" w14:textId="77777777" w:rsidR="00452F27" w:rsidRPr="006663A8" w:rsidRDefault="00452F27" w:rsidP="00FD0277">
            <w:pPr>
              <w:jc w:val="both"/>
              <w:rPr>
                <w:rFonts w:ascii="Arial" w:hAnsi="Arial"/>
                <w:bCs/>
                <w:snapToGrid w:val="0"/>
                <w:sz w:val="24"/>
              </w:rPr>
            </w:pPr>
          </w:p>
        </w:tc>
        <w:tc>
          <w:tcPr>
            <w:tcW w:w="1985" w:type="dxa"/>
          </w:tcPr>
          <w:p w14:paraId="6EA79C71"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14:paraId="2F29891F"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14:paraId="677E3DA8"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14:paraId="225291B5" w14:textId="77777777" w:rsidTr="00FD0277">
        <w:tc>
          <w:tcPr>
            <w:tcW w:w="5173" w:type="dxa"/>
          </w:tcPr>
          <w:p w14:paraId="15FDA4B2" w14:textId="77777777" w:rsidR="00A057C9" w:rsidRPr="006663A8" w:rsidRDefault="00A057C9" w:rsidP="00A057C9">
            <w:pPr>
              <w:jc w:val="both"/>
              <w:rPr>
                <w:rFonts w:ascii="Arial" w:hAnsi="Arial"/>
                <w:bCs/>
                <w:snapToGrid w:val="0"/>
                <w:sz w:val="24"/>
              </w:rPr>
            </w:pPr>
            <w:r>
              <w:rPr>
                <w:rFonts w:ascii="Arial" w:hAnsi="Arial"/>
                <w:bCs/>
                <w:snapToGrid w:val="0"/>
                <w:sz w:val="24"/>
              </w:rPr>
              <w:t xml:space="preserve">MECURI ANTONIO </w:t>
            </w:r>
          </w:p>
        </w:tc>
        <w:tc>
          <w:tcPr>
            <w:tcW w:w="1985" w:type="dxa"/>
          </w:tcPr>
          <w:p w14:paraId="3EA3EEBF"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14:paraId="320AE410" w14:textId="77777777" w:rsidR="00452F27" w:rsidRPr="006663A8" w:rsidRDefault="00E63614"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bookmarkEnd w:id="1"/>
          </w:p>
        </w:tc>
        <w:tc>
          <w:tcPr>
            <w:tcW w:w="708" w:type="dxa"/>
          </w:tcPr>
          <w:p w14:paraId="66DC0902" w14:textId="77777777" w:rsidR="00452F27" w:rsidRPr="006663A8" w:rsidRDefault="00E63614"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tc>
      </w:tr>
      <w:tr w:rsidR="00452F27" w:rsidRPr="006663A8" w14:paraId="0B8BED7F" w14:textId="77777777" w:rsidTr="00FD0277">
        <w:tc>
          <w:tcPr>
            <w:tcW w:w="5173" w:type="dxa"/>
          </w:tcPr>
          <w:p w14:paraId="54AC8985" w14:textId="2E8120C0" w:rsidR="00452F27" w:rsidRPr="006663A8" w:rsidRDefault="00393374" w:rsidP="00FD0277">
            <w:pPr>
              <w:jc w:val="both"/>
              <w:rPr>
                <w:rFonts w:ascii="Arial" w:hAnsi="Arial"/>
                <w:bCs/>
                <w:snapToGrid w:val="0"/>
                <w:sz w:val="24"/>
              </w:rPr>
            </w:pPr>
            <w:r>
              <w:rPr>
                <w:rFonts w:ascii="Arial" w:hAnsi="Arial"/>
                <w:bCs/>
                <w:snapToGrid w:val="0"/>
                <w:sz w:val="24"/>
              </w:rPr>
              <w:t xml:space="preserve">DI LORENZO AMEDEO </w:t>
            </w:r>
          </w:p>
        </w:tc>
        <w:tc>
          <w:tcPr>
            <w:tcW w:w="1985" w:type="dxa"/>
          </w:tcPr>
          <w:p w14:paraId="7A249911"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tc>
          <w:tcPr>
            <w:tcW w:w="709" w:type="dxa"/>
          </w:tcPr>
          <w:p w14:paraId="691114A3" w14:textId="385E63BF" w:rsidR="00452F27" w:rsidRPr="006663A8" w:rsidRDefault="00C86047"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bookmarkStart w:id="2" w:name="Controllo4"/>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bookmarkEnd w:id="2"/>
          </w:p>
        </w:tc>
        <w:tc>
          <w:tcPr>
            <w:tcW w:w="708" w:type="dxa"/>
          </w:tcPr>
          <w:p w14:paraId="4F51ADF8" w14:textId="04F82FD8" w:rsidR="00452F27" w:rsidRPr="006663A8" w:rsidRDefault="00C86047"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tc>
      </w:tr>
      <w:tr w:rsidR="00452F27" w:rsidRPr="006663A8" w14:paraId="009F5605" w14:textId="77777777" w:rsidTr="00FD0277">
        <w:tc>
          <w:tcPr>
            <w:tcW w:w="5173" w:type="dxa"/>
          </w:tcPr>
          <w:p w14:paraId="1222D1EB" w14:textId="7D8BD3F7" w:rsidR="00452F27" w:rsidRPr="006663A8" w:rsidRDefault="00393374" w:rsidP="00A057C9">
            <w:pPr>
              <w:jc w:val="both"/>
              <w:rPr>
                <w:rFonts w:ascii="Arial" w:hAnsi="Arial"/>
                <w:bCs/>
                <w:snapToGrid w:val="0"/>
                <w:sz w:val="24"/>
              </w:rPr>
            </w:pPr>
            <w:r>
              <w:rPr>
                <w:rFonts w:ascii="Arial" w:hAnsi="Arial"/>
                <w:bCs/>
                <w:snapToGrid w:val="0"/>
                <w:sz w:val="24"/>
              </w:rPr>
              <w:t xml:space="preserve">FORTE SANDRO </w:t>
            </w:r>
            <w:r w:rsidR="00A057C9">
              <w:rPr>
                <w:rFonts w:ascii="Arial" w:hAnsi="Arial"/>
                <w:bCs/>
                <w:snapToGrid w:val="0"/>
                <w:sz w:val="24"/>
              </w:rPr>
              <w:t xml:space="preserve"> </w:t>
            </w:r>
          </w:p>
        </w:tc>
        <w:tc>
          <w:tcPr>
            <w:tcW w:w="1985" w:type="dxa"/>
          </w:tcPr>
          <w:p w14:paraId="5CDBE15C"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14:paraId="7A618114" w14:textId="44805E86" w:rsidR="00452F27" w:rsidRPr="006663A8" w:rsidRDefault="00051A18"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p w14:paraId="09A1C35F" w14:textId="77777777" w:rsidR="00452F27" w:rsidRPr="006663A8" w:rsidRDefault="00452F27" w:rsidP="00FD0277">
            <w:pPr>
              <w:jc w:val="both"/>
              <w:rPr>
                <w:rFonts w:ascii="Arial" w:hAnsi="Arial"/>
                <w:bCs/>
                <w:snapToGrid w:val="0"/>
                <w:sz w:val="24"/>
              </w:rPr>
            </w:pPr>
          </w:p>
        </w:tc>
        <w:tc>
          <w:tcPr>
            <w:tcW w:w="708" w:type="dxa"/>
          </w:tcPr>
          <w:p w14:paraId="1DD0C498" w14:textId="7E5AA336" w:rsidR="00452F27" w:rsidRPr="006663A8" w:rsidRDefault="00051A18"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p w14:paraId="6D12ADB8" w14:textId="77777777" w:rsidR="00452F27" w:rsidRPr="006663A8" w:rsidRDefault="00452F27" w:rsidP="00FD0277">
            <w:pPr>
              <w:jc w:val="both"/>
              <w:rPr>
                <w:rFonts w:ascii="Arial" w:hAnsi="Arial"/>
                <w:bCs/>
                <w:snapToGrid w:val="0"/>
                <w:sz w:val="24"/>
              </w:rPr>
            </w:pPr>
          </w:p>
        </w:tc>
      </w:tr>
    </w:tbl>
    <w:p w14:paraId="7BB3C020" w14:textId="77777777" w:rsidR="00452F27" w:rsidRPr="006663A8" w:rsidRDefault="00452F27" w:rsidP="00452F27">
      <w:pPr>
        <w:tabs>
          <w:tab w:val="left" w:pos="453"/>
          <w:tab w:val="left" w:pos="6237"/>
        </w:tabs>
        <w:jc w:val="both"/>
        <w:rPr>
          <w:rFonts w:ascii="Arial" w:hAnsi="Arial"/>
          <w:bCs/>
          <w:snapToGrid w:val="0"/>
          <w:sz w:val="24"/>
        </w:rPr>
      </w:pPr>
    </w:p>
    <w:p w14:paraId="39DE8250" w14:textId="77777777"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w:t>
      </w:r>
      <w:proofErr w:type="gramStart"/>
      <w:r w:rsidRPr="006663A8">
        <w:rPr>
          <w:rFonts w:ascii="Arial" w:hAnsi="Arial" w:cs="Arial"/>
          <w:sz w:val="24"/>
          <w:szCs w:val="24"/>
        </w:rPr>
        <w:t>il  Segretario</w:t>
      </w:r>
      <w:proofErr w:type="gramEnd"/>
      <w:r w:rsidRPr="006663A8">
        <w:rPr>
          <w:rFonts w:ascii="Arial" w:hAnsi="Arial" w:cs="Arial"/>
          <w:sz w:val="24"/>
          <w:szCs w:val="24"/>
        </w:rPr>
        <w:t xml:space="preserve">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14:paraId="283A11A7" w14:textId="77777777"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w:t>
      </w:r>
      <w:r w:rsidR="00190E2D">
        <w:rPr>
          <w:rFonts w:ascii="Arial" w:hAnsi="Arial"/>
          <w:bCs/>
          <w:snapToGrid w:val="0"/>
          <w:sz w:val="24"/>
        </w:rPr>
        <w:t>Vices</w:t>
      </w:r>
      <w:r w:rsidRPr="006663A8">
        <w:rPr>
          <w:rFonts w:ascii="Arial" w:hAnsi="Arial"/>
          <w:bCs/>
          <w:snapToGrid w:val="0"/>
          <w:sz w:val="24"/>
        </w:rPr>
        <w:t>indaco, constatato che gli intervenuti sono in numero legale, dichiara aperta la riunione ed invita i convocati a deliberare sull’oggetto sopraindicato.</w:t>
      </w:r>
    </w:p>
    <w:p w14:paraId="56C3FE4C" w14:textId="77777777" w:rsidR="00452F27" w:rsidRPr="006663A8" w:rsidRDefault="00452F27" w:rsidP="00452F27">
      <w:pPr>
        <w:tabs>
          <w:tab w:val="left" w:pos="453"/>
          <w:tab w:val="left" w:pos="6237"/>
        </w:tabs>
        <w:jc w:val="both"/>
        <w:rPr>
          <w:rFonts w:ascii="Arial" w:hAnsi="Arial"/>
          <w:bCs/>
          <w:snapToGrid w:val="0"/>
          <w:sz w:val="24"/>
        </w:rPr>
      </w:pPr>
    </w:p>
    <w:p w14:paraId="37FF8027" w14:textId="77777777" w:rsidR="00452F27" w:rsidRPr="006663A8" w:rsidRDefault="00452F27" w:rsidP="00452F27">
      <w:pPr>
        <w:tabs>
          <w:tab w:val="left" w:pos="453"/>
          <w:tab w:val="left" w:pos="6237"/>
        </w:tabs>
        <w:jc w:val="both"/>
        <w:rPr>
          <w:rFonts w:ascii="Arial" w:hAnsi="Arial"/>
          <w:bCs/>
          <w:snapToGrid w:val="0"/>
        </w:rPr>
      </w:pPr>
    </w:p>
    <w:p w14:paraId="5FE42A23" w14:textId="6D14680A" w:rsidR="00855DBE" w:rsidRDefault="00452F27" w:rsidP="004B5B7C">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14:paraId="42E8436A" w14:textId="77777777" w:rsidR="00A43D6B" w:rsidRDefault="00A43D6B" w:rsidP="004B5B7C">
      <w:pPr>
        <w:tabs>
          <w:tab w:val="left" w:pos="453"/>
          <w:tab w:val="left" w:pos="6237"/>
        </w:tabs>
        <w:jc w:val="center"/>
        <w:rPr>
          <w:color w:val="000000"/>
          <w:sz w:val="22"/>
          <w:szCs w:val="22"/>
          <w:shd w:val="clear" w:color="auto" w:fill="FFFFFF"/>
        </w:rPr>
      </w:pPr>
    </w:p>
    <w:p w14:paraId="4528DD6B" w14:textId="77777777" w:rsidR="00746F97" w:rsidRPr="00802575" w:rsidRDefault="00746F97" w:rsidP="00746F97"/>
    <w:p w14:paraId="0561C040" w14:textId="77777777" w:rsidR="003A28DA" w:rsidRDefault="003A28DA" w:rsidP="003A28DA">
      <w:pPr>
        <w:jc w:val="both"/>
      </w:pPr>
      <w:r>
        <w:t>Richiamato l’art. 1 - commi da 816 a 847 - della legge 27.12.2019, n. 160, che introduce dal 1° gennaio 2021 il nuovo canone patrimoniale di concessione, autorizzazione o esposizione pubblicitaria che sostituisce, fra l’altro, la tassa per l’occupazione di spazi ed aree pubbliche e l’imposta comunale sulla pubblicità, il diritto sulle pubbliche affissioni;</w:t>
      </w:r>
    </w:p>
    <w:p w14:paraId="12190BDA" w14:textId="77777777" w:rsidR="003A28DA" w:rsidRDefault="003A28DA" w:rsidP="003A28DA">
      <w:pPr>
        <w:jc w:val="both"/>
      </w:pPr>
    </w:p>
    <w:p w14:paraId="65E8714D" w14:textId="77777777" w:rsidR="003A28DA" w:rsidRDefault="003A28DA" w:rsidP="003A28DA">
      <w:pPr>
        <w:jc w:val="both"/>
      </w:pPr>
      <w:r>
        <w:t>Rilevato che detta norma dispone la disciplina del canone da parte degli enti con regolamento da adottare dal consiglio comunale ed in modo da assicurare un gettito pari a quello conseguito dai canoni e dai tributi che sono sostituiti dal canone patrimoniale fatta salva, in ogni caso, la possibilità di variare il gettito attraverso la modifica delle tariffe;</w:t>
      </w:r>
    </w:p>
    <w:p w14:paraId="214F7F46" w14:textId="77777777" w:rsidR="003A28DA" w:rsidRDefault="003A28DA" w:rsidP="003A28DA">
      <w:pPr>
        <w:jc w:val="both"/>
      </w:pPr>
    </w:p>
    <w:p w14:paraId="01D27447" w14:textId="0F49C258" w:rsidR="003A28DA" w:rsidRDefault="003A28DA" w:rsidP="003A28DA">
      <w:pPr>
        <w:jc w:val="both"/>
      </w:pPr>
      <w:r>
        <w:t xml:space="preserve">Dato atto che con deliberazione </w:t>
      </w:r>
      <w:r w:rsidRPr="003A28DA">
        <w:t>Consiliare n. 13 in data 25-05-2021</w:t>
      </w:r>
      <w:r>
        <w:t xml:space="preserve">, esecutiva, in relazione al combinato disposto dagli articoli 52 e 62 del </w:t>
      </w:r>
      <w:proofErr w:type="spellStart"/>
      <w:r>
        <w:t>D.Lgs.</w:t>
      </w:r>
      <w:proofErr w:type="spellEnd"/>
      <w:r>
        <w:t xml:space="preserve"> 15 dicembre 1997, n. 446 e successive modificazioni:</w:t>
      </w:r>
    </w:p>
    <w:p w14:paraId="1BB15E1F" w14:textId="77777777" w:rsidR="00781507" w:rsidRDefault="00781507" w:rsidP="003A28DA">
      <w:pPr>
        <w:jc w:val="both"/>
      </w:pPr>
    </w:p>
    <w:p w14:paraId="01C38517" w14:textId="0F168FDB" w:rsidR="003A28DA" w:rsidRPr="00D84BFD" w:rsidRDefault="003A28DA" w:rsidP="003A28DA">
      <w:pPr>
        <w:pStyle w:val="Paragrafoelenco"/>
        <w:numPr>
          <w:ilvl w:val="0"/>
          <w:numId w:val="6"/>
        </w:numPr>
        <w:spacing w:after="160"/>
        <w:ind w:left="714" w:hanging="357"/>
        <w:contextualSpacing/>
        <w:jc w:val="both"/>
        <w:rPr>
          <w:sz w:val="24"/>
          <w:szCs w:val="24"/>
        </w:rPr>
      </w:pPr>
      <w:r w:rsidRPr="00D84BFD">
        <w:rPr>
          <w:sz w:val="24"/>
          <w:szCs w:val="24"/>
        </w:rPr>
        <w:t>è stato approvato il regolamento comunale per l’istituzione e la disciplina del canone patrimoniale di concessione, autorizzazione o esposizione pubblicitaria e del canone mercatale con decorrenza dal 1° gennaio 2021</w:t>
      </w:r>
      <w:r w:rsidR="00781507">
        <w:rPr>
          <w:sz w:val="24"/>
          <w:szCs w:val="24"/>
        </w:rPr>
        <w:t xml:space="preserve"> e rimaste invariate per l’anno 2022</w:t>
      </w:r>
      <w:r w:rsidRPr="00D84BFD">
        <w:rPr>
          <w:sz w:val="24"/>
          <w:szCs w:val="24"/>
        </w:rPr>
        <w:t>;</w:t>
      </w:r>
    </w:p>
    <w:p w14:paraId="44D566CD" w14:textId="77777777" w:rsidR="003A28DA" w:rsidRPr="00D06C83" w:rsidRDefault="003A28DA" w:rsidP="003A28DA">
      <w:pPr>
        <w:jc w:val="both"/>
      </w:pPr>
      <w:r w:rsidRPr="003A28DA">
        <w:t>Dato atto che con deliberazione di C.C. n. 14 del 25-05-2021 sono state approvate le tariffe canone unico patrimoniale anno 2021 e rimaste invariate per l’anno 2022;</w:t>
      </w:r>
    </w:p>
    <w:p w14:paraId="49D58DB9" w14:textId="77777777" w:rsidR="003A28DA" w:rsidRPr="00D06C83" w:rsidRDefault="003A28DA" w:rsidP="003A28DA">
      <w:pPr>
        <w:jc w:val="both"/>
      </w:pPr>
    </w:p>
    <w:p w14:paraId="20AAE0CE" w14:textId="77777777" w:rsidR="003A28DA" w:rsidRDefault="003A28DA" w:rsidP="003A28DA">
      <w:pPr>
        <w:jc w:val="both"/>
      </w:pPr>
      <w:r>
        <w:lastRenderedPageBreak/>
        <w:t>Premesso che ai sensi dell’art. 1, comma 819, della legge 160/2019 il presupposto del canone patrimoniale di concessione, autorizzazione o esposizione pubblicitaria è:</w:t>
      </w:r>
    </w:p>
    <w:p w14:paraId="567EF635" w14:textId="77777777" w:rsidR="003A28DA" w:rsidRDefault="003A28DA" w:rsidP="003A28DA">
      <w:pPr>
        <w:jc w:val="both"/>
      </w:pPr>
      <w:r>
        <w:t>a) l’occupazione, anche abusiva, delle aree appartenenti al demanio o al patrimonio indisponibile degli enti e degli spazi sovrastanti o sottostanti il suolo pubblico;</w:t>
      </w:r>
    </w:p>
    <w:p w14:paraId="5FB83202" w14:textId="77777777" w:rsidR="003A28DA" w:rsidRDefault="003A28DA" w:rsidP="003A28DA">
      <w:pPr>
        <w:jc w:val="both"/>
      </w:pPr>
      <w:r>
        <w:t>b) la diffusione di messaggi pubblicitari, anche abusiva, mediante impianti installati su aree appartenenti al demanio o al patrimonio indisponibile degli enti, su beni privati laddove siano visibili da luogo pubblico o aperto al pubblico del territorio comunale, ovvero all’esterno di veicoli adibiti a uso pubblico o a uso privato;</w:t>
      </w:r>
    </w:p>
    <w:p w14:paraId="38636000" w14:textId="77777777" w:rsidR="003A28DA" w:rsidRDefault="003A28DA" w:rsidP="003A28DA">
      <w:pPr>
        <w:jc w:val="both"/>
        <w:rPr>
          <w:b/>
          <w:bCs/>
        </w:rPr>
      </w:pPr>
    </w:p>
    <w:p w14:paraId="5766C1B5" w14:textId="77777777" w:rsidR="003A28DA" w:rsidRPr="00C208EF" w:rsidRDefault="003A28DA" w:rsidP="003A28DA">
      <w:pPr>
        <w:jc w:val="both"/>
        <w:rPr>
          <w:b/>
          <w:bCs/>
        </w:rPr>
      </w:pPr>
      <w:r w:rsidRPr="00C208EF">
        <w:rPr>
          <w:b/>
          <w:bCs/>
        </w:rPr>
        <w:t>Dato atto che l’applicazione del Canone dovuto per la diffusione dei messaggi pubblicitari di cui alla lettera b) del comma 819 dell’articolo 1 della legge L. 160/2019 esclude l’applicazione del canone dovuto per le occupazioni di cui alla lettera a) del medesimo c</w:t>
      </w:r>
      <w:r>
        <w:rPr>
          <w:b/>
          <w:bCs/>
        </w:rPr>
        <w:t>omma</w:t>
      </w:r>
      <w:r w:rsidRPr="00C208EF">
        <w:rPr>
          <w:b/>
          <w:bCs/>
        </w:rPr>
        <w:t xml:space="preserve"> (occupazione aree).</w:t>
      </w:r>
    </w:p>
    <w:p w14:paraId="1C221133" w14:textId="77777777" w:rsidR="003A28DA" w:rsidRDefault="003A28DA" w:rsidP="003A28DA">
      <w:pPr>
        <w:jc w:val="both"/>
        <w:rPr>
          <w:color w:val="000000"/>
        </w:rPr>
      </w:pPr>
    </w:p>
    <w:p w14:paraId="61FAA033" w14:textId="77777777" w:rsidR="003A28DA" w:rsidRPr="00D84BFD" w:rsidRDefault="003A28DA" w:rsidP="003A28DA">
      <w:pPr>
        <w:jc w:val="both"/>
        <w:rPr>
          <w:color w:val="000000"/>
          <w:szCs w:val="24"/>
        </w:rPr>
      </w:pPr>
      <w:r w:rsidRPr="00D84BFD">
        <w:rPr>
          <w:color w:val="000000"/>
          <w:szCs w:val="24"/>
        </w:rPr>
        <w:t xml:space="preserve">Verificato che la popolazione </w:t>
      </w:r>
      <w:r w:rsidRPr="003A28DA">
        <w:rPr>
          <w:b/>
          <w:bCs/>
          <w:color w:val="000000"/>
          <w:szCs w:val="24"/>
        </w:rPr>
        <w:t>per l’anno 2022 era pari a 207 abitanti</w:t>
      </w:r>
      <w:r w:rsidRPr="00D84BFD">
        <w:rPr>
          <w:color w:val="000000"/>
          <w:szCs w:val="24"/>
        </w:rPr>
        <w:t xml:space="preserve"> per cui le tariffe standard previste per i comuni fino a 10.000 abitanti risultano le seguenti:</w:t>
      </w:r>
    </w:p>
    <w:p w14:paraId="66E0BA16" w14:textId="77777777" w:rsidR="003A28DA" w:rsidRPr="00D84BFD" w:rsidRDefault="003A28DA" w:rsidP="003A28DA">
      <w:pPr>
        <w:pStyle w:val="Paragrafoelenco"/>
        <w:numPr>
          <w:ilvl w:val="0"/>
          <w:numId w:val="6"/>
        </w:numPr>
        <w:spacing w:after="160" w:line="259" w:lineRule="auto"/>
        <w:contextualSpacing/>
        <w:jc w:val="both"/>
        <w:rPr>
          <w:color w:val="000000"/>
          <w:sz w:val="24"/>
          <w:szCs w:val="24"/>
        </w:rPr>
      </w:pPr>
      <w:r w:rsidRPr="00D84BFD">
        <w:rPr>
          <w:sz w:val="24"/>
          <w:szCs w:val="24"/>
        </w:rPr>
        <w:t>tariffa standard annua (art. 1, comma 826 Legge 160/- 2019): è pari ad € 30,00/metro quadrato/lineare.</w:t>
      </w:r>
    </w:p>
    <w:p w14:paraId="564FDDF8" w14:textId="77777777" w:rsidR="003A28DA" w:rsidRPr="00D84BFD" w:rsidRDefault="003A28DA" w:rsidP="003A28DA">
      <w:pPr>
        <w:pStyle w:val="Paragrafoelenco"/>
        <w:numPr>
          <w:ilvl w:val="0"/>
          <w:numId w:val="6"/>
        </w:numPr>
        <w:spacing w:after="160" w:line="259" w:lineRule="auto"/>
        <w:contextualSpacing/>
        <w:jc w:val="both"/>
        <w:rPr>
          <w:color w:val="000000"/>
          <w:sz w:val="24"/>
          <w:szCs w:val="24"/>
        </w:rPr>
      </w:pPr>
      <w:r w:rsidRPr="00D84BFD">
        <w:rPr>
          <w:sz w:val="24"/>
          <w:szCs w:val="24"/>
        </w:rPr>
        <w:t>tariffa standard giornaliera (art. 1, comma 827 Legge 160/2019): è pari ad € 0,60/ metro quadrato/lineare.</w:t>
      </w:r>
    </w:p>
    <w:p w14:paraId="51035639" w14:textId="77777777" w:rsidR="003A28DA" w:rsidRDefault="003A28DA" w:rsidP="003A28DA">
      <w:pPr>
        <w:jc w:val="both"/>
      </w:pPr>
      <w:r>
        <w:t>Ritenuto di individuare le riduzioni o le maggiorazioni da applicare alle tariffe standard delle diverse tipologie di occupazione e di esposizione pubblicitaria, in modo tale da non aumentare il prelievo rispetto alle attuali tariffe e ai canoni sostituiti;</w:t>
      </w:r>
    </w:p>
    <w:p w14:paraId="080FAE77" w14:textId="77777777" w:rsidR="003A28DA" w:rsidRDefault="003A28DA" w:rsidP="003A28DA">
      <w:pPr>
        <w:jc w:val="both"/>
      </w:pPr>
    </w:p>
    <w:p w14:paraId="5CA4B1F8" w14:textId="77777777" w:rsidR="003A28DA" w:rsidRDefault="003A28DA" w:rsidP="003A28DA">
      <w:pPr>
        <w:jc w:val="both"/>
      </w:pPr>
      <w:r>
        <w:t xml:space="preserve">Considerato che le occupazioni di suolo pubblico e le diffusioni pubblicitarie </w:t>
      </w:r>
      <w:r w:rsidRPr="00075DA4">
        <w:rPr>
          <w:b/>
          <w:bCs/>
        </w:rPr>
        <w:t>a carattere permanente</w:t>
      </w:r>
      <w:r>
        <w:t>, sono soggette al pagamento del canone in base alla tariffa standard di cui all’articolo 1 comma 826 della legge 30 dicembre 2019 n° 160 da commisurare alla superficie occupata ovvero in base alla superficie degli impianti pubblicitari, alla quale si applicano maggiorazioni o riduzioni come esplicitate in allegato “A”.</w:t>
      </w:r>
    </w:p>
    <w:p w14:paraId="354C4D6A" w14:textId="77777777" w:rsidR="003A28DA" w:rsidRDefault="003A28DA" w:rsidP="003A28DA">
      <w:pPr>
        <w:jc w:val="both"/>
      </w:pPr>
    </w:p>
    <w:p w14:paraId="4B429893" w14:textId="77777777" w:rsidR="003A28DA" w:rsidRDefault="003A28DA" w:rsidP="003A28DA">
      <w:pPr>
        <w:jc w:val="both"/>
      </w:pPr>
      <w:r>
        <w:t xml:space="preserve">Considerato che le occupazioni di suolo pubblico e le diffusioni pubblicitarie </w:t>
      </w:r>
      <w:r w:rsidRPr="00075DA4">
        <w:rPr>
          <w:b/>
          <w:bCs/>
        </w:rPr>
        <w:t>a carattere temporaneo</w:t>
      </w:r>
      <w:r>
        <w:t>, sono soggette al pagamento del canone in base alla tariffa standard di cui all’articolo 1 comma 827 della Legge 30 dicembre 2019 n° 160 da moltiplicare per i metri quadrati ed i relativi giorni di occupazione di suolo pubblico o diffusione di messaggi pubblicitari alla quale si applicano riduzioni o maggiorazioni come esplicitate nell’allegato “A”.</w:t>
      </w:r>
    </w:p>
    <w:p w14:paraId="54E41AAA" w14:textId="77777777" w:rsidR="003A28DA" w:rsidRDefault="003A28DA" w:rsidP="003A28DA">
      <w:pPr>
        <w:jc w:val="both"/>
        <w:rPr>
          <w:b/>
          <w:bCs/>
        </w:rPr>
      </w:pPr>
    </w:p>
    <w:p w14:paraId="4DDFCEBD" w14:textId="77777777" w:rsidR="003A28DA" w:rsidRPr="007C205F" w:rsidRDefault="003A28DA" w:rsidP="003A28DA">
      <w:pPr>
        <w:jc w:val="both"/>
      </w:pPr>
      <w:r w:rsidRPr="007C205F">
        <w:t xml:space="preserve">Visto che l’articolo 5 comma 14-quinquies. del D.L. 146 2021, convertito nella legge 7 dicembre 2021, n. 215 dispone che: </w:t>
      </w:r>
    </w:p>
    <w:p w14:paraId="1E0B007A" w14:textId="77777777" w:rsidR="003A28DA" w:rsidRPr="001C1CEA" w:rsidRDefault="003A28DA" w:rsidP="003A28DA">
      <w:pPr>
        <w:pStyle w:val="PreformattatoHTML"/>
        <w:jc w:val="both"/>
        <w:textAlignment w:val="baseline"/>
        <w:rPr>
          <w:rFonts w:ascii="Times New Roman" w:hAnsi="Times New Roman" w:cs="Times New Roman"/>
          <w:i/>
          <w:iCs/>
          <w:sz w:val="24"/>
        </w:rPr>
      </w:pPr>
      <w:r w:rsidRPr="001C1CEA">
        <w:rPr>
          <w:rFonts w:ascii="Times New Roman" w:hAnsi="Times New Roman" w:cs="Times New Roman"/>
          <w:i/>
          <w:iCs/>
          <w:sz w:val="24"/>
        </w:rPr>
        <w:t xml:space="preserve">Il comma 831 dell'articolo 1 della legge 27 dicembre 2019, n. 160, si interpreta nel senso che: </w:t>
      </w:r>
    </w:p>
    <w:p w14:paraId="271E1DAA" w14:textId="77777777" w:rsidR="003A28DA" w:rsidRPr="001C1CEA" w:rsidRDefault="003A28DA" w:rsidP="003A28DA">
      <w:pPr>
        <w:pStyle w:val="PreformattatoHTML"/>
        <w:jc w:val="both"/>
        <w:textAlignment w:val="baseline"/>
        <w:rPr>
          <w:rFonts w:ascii="Times New Roman" w:hAnsi="Times New Roman" w:cs="Times New Roman"/>
          <w:i/>
          <w:iCs/>
          <w:sz w:val="24"/>
        </w:rPr>
      </w:pPr>
      <w:r w:rsidRPr="001C1CEA">
        <w:rPr>
          <w:rFonts w:ascii="Times New Roman" w:hAnsi="Times New Roman" w:cs="Times New Roman"/>
          <w:i/>
          <w:iCs/>
          <w:sz w:val="24"/>
        </w:rPr>
        <w:t xml:space="preserve">    a) per le occupazioni permanenti di suolo pubblico effettuate nei settori in cui è prevista una separazione,  in  ragione  di  assetti normativi, regolamentari o  contrattuali,  tra  i  soggetti  titolari delle infrastrutture ed i soggetti titolari del contratto di  vendita del bene distribuito alla clientela finale, non configurandosi alcuna occupazione in  via  mediata  ed  alcun  utilizzo  materiale   delle infrastrutture da parte della  società   di  vendita,  il  canone  è dovuto esclusivamente dal soggetto titolare dell'atto di  concessione delle infrastrutture, in base alle utenze delle predette società   di vendita; </w:t>
      </w:r>
    </w:p>
    <w:p w14:paraId="4964D853" w14:textId="77777777" w:rsidR="003A28DA" w:rsidRPr="001C1CEA" w:rsidRDefault="003A28DA" w:rsidP="003A28DA">
      <w:pPr>
        <w:pStyle w:val="PreformattatoHTML"/>
        <w:jc w:val="both"/>
        <w:textAlignment w:val="baseline"/>
        <w:rPr>
          <w:rFonts w:ascii="Times New Roman" w:hAnsi="Times New Roman" w:cs="Times New Roman"/>
          <w:i/>
          <w:iCs/>
          <w:sz w:val="24"/>
        </w:rPr>
      </w:pPr>
      <w:r w:rsidRPr="001C1CEA">
        <w:rPr>
          <w:rFonts w:ascii="Times New Roman" w:hAnsi="Times New Roman" w:cs="Times New Roman"/>
          <w:i/>
          <w:iCs/>
          <w:sz w:val="24"/>
        </w:rPr>
        <w:t xml:space="preserve">    b) per occupazioni permanenti di suolo pubblico con impianti direttamente funzionali all'erogazione del servizio a rete devono intendersi anche quelle effettuate dalle aziende esercenti attività strumentali alla fornitura di servizi di pubblica utilità, quali la trasmissione di energia elettrica e il trasporto di gas naturale. Per tali occupazioni il canone annuo è dovuto nella misura minima di 800 euro. </w:t>
      </w:r>
    </w:p>
    <w:p w14:paraId="3CCBD2A0" w14:textId="77777777" w:rsidR="003A28DA" w:rsidRDefault="003A28DA" w:rsidP="003A28DA">
      <w:pPr>
        <w:jc w:val="both"/>
        <w:rPr>
          <w:b/>
          <w:bCs/>
        </w:rPr>
      </w:pPr>
    </w:p>
    <w:p w14:paraId="725C223B" w14:textId="77777777" w:rsidR="003A28DA" w:rsidRDefault="003A28DA" w:rsidP="003A28DA">
      <w:pPr>
        <w:jc w:val="both"/>
        <w:rPr>
          <w:szCs w:val="24"/>
        </w:rPr>
      </w:pPr>
      <w:r w:rsidRPr="001B05C8">
        <w:rPr>
          <w:szCs w:val="24"/>
        </w:rPr>
        <w:t>In particolare, alla lettera a), si chiarisce che le società titolari dei contratti di vendita del bene distribuito alla clientela finale</w:t>
      </w:r>
      <w:r>
        <w:rPr>
          <w:szCs w:val="24"/>
        </w:rPr>
        <w:t xml:space="preserve"> </w:t>
      </w:r>
      <w:r w:rsidRPr="001B05C8">
        <w:rPr>
          <w:szCs w:val="24"/>
        </w:rPr>
        <w:t>non possono considerarsi soggetti che occupano, neanche in via mediata, e per tale motivo non sono tenute al pagamento</w:t>
      </w:r>
      <w:r>
        <w:rPr>
          <w:szCs w:val="24"/>
        </w:rPr>
        <w:t xml:space="preserve"> </w:t>
      </w:r>
      <w:r w:rsidRPr="001B05C8">
        <w:rPr>
          <w:szCs w:val="24"/>
        </w:rPr>
        <w:t>del canone unico. Il canone sarebbe quindi dovuto dai soggetti che risultano concessionari delle infrastrutture e la</w:t>
      </w:r>
      <w:r>
        <w:rPr>
          <w:szCs w:val="24"/>
        </w:rPr>
        <w:t xml:space="preserve"> </w:t>
      </w:r>
      <w:r w:rsidRPr="001B05C8">
        <w:rPr>
          <w:szCs w:val="24"/>
        </w:rPr>
        <w:t>quantificazione del canone deve essere effettuata «in base alle utenze delle predette società di vendita», le quali, quindi,</w:t>
      </w:r>
      <w:r>
        <w:rPr>
          <w:szCs w:val="24"/>
        </w:rPr>
        <w:t xml:space="preserve"> </w:t>
      </w:r>
      <w:r w:rsidRPr="001B05C8">
        <w:rPr>
          <w:szCs w:val="24"/>
        </w:rPr>
        <w:t>sarebbero tenute a comunicare al concessionario il numero delle utenze.</w:t>
      </w:r>
      <w:r>
        <w:rPr>
          <w:szCs w:val="24"/>
        </w:rPr>
        <w:t xml:space="preserve"> </w:t>
      </w:r>
    </w:p>
    <w:p w14:paraId="539A3708" w14:textId="77777777" w:rsidR="003A28DA" w:rsidRPr="001B05C8" w:rsidRDefault="003A28DA" w:rsidP="003A28DA">
      <w:pPr>
        <w:jc w:val="both"/>
        <w:rPr>
          <w:b/>
          <w:bCs/>
          <w:szCs w:val="24"/>
        </w:rPr>
      </w:pPr>
    </w:p>
    <w:p w14:paraId="5E3E02A6" w14:textId="77777777" w:rsidR="003A28DA" w:rsidRPr="001B05C8" w:rsidRDefault="003A28DA" w:rsidP="003A28DA">
      <w:pPr>
        <w:jc w:val="both"/>
        <w:rPr>
          <w:b/>
          <w:bCs/>
          <w:szCs w:val="24"/>
        </w:rPr>
      </w:pPr>
      <w:r w:rsidRPr="001B05C8">
        <w:rPr>
          <w:szCs w:val="24"/>
        </w:rPr>
        <w:t>La successiva lettera b), ha precisato che la disciplina del canone unico è applicabile anche alle occupazioni effettuate da imprese che svolgono attività</w:t>
      </w:r>
      <w:r>
        <w:rPr>
          <w:szCs w:val="24"/>
        </w:rPr>
        <w:t xml:space="preserve"> </w:t>
      </w:r>
      <w:r w:rsidRPr="001B05C8">
        <w:rPr>
          <w:szCs w:val="24"/>
        </w:rPr>
        <w:t>strumentali e accessorie all’erogazione dei servizi a rete (tra le quali la trasmissione di energia elettrica ed il trasporto di gas</w:t>
      </w:r>
      <w:r>
        <w:rPr>
          <w:szCs w:val="24"/>
        </w:rPr>
        <w:t xml:space="preserve"> </w:t>
      </w:r>
      <w:r w:rsidRPr="001B05C8">
        <w:rPr>
          <w:szCs w:val="24"/>
        </w:rPr>
        <w:t xml:space="preserve">naturale dal produttore al distributore finale) tenendo conto della sostanziale </w:t>
      </w:r>
      <w:r w:rsidRPr="001B05C8">
        <w:rPr>
          <w:szCs w:val="24"/>
        </w:rPr>
        <w:lastRenderedPageBreak/>
        <w:t>“unitarietà” della filiera</w:t>
      </w:r>
      <w:r>
        <w:rPr>
          <w:szCs w:val="24"/>
        </w:rPr>
        <w:t xml:space="preserve">. </w:t>
      </w:r>
      <w:r w:rsidRPr="001B05C8">
        <w:rPr>
          <w:szCs w:val="24"/>
        </w:rPr>
        <w:t>Pertanto, per tali</w:t>
      </w:r>
      <w:r>
        <w:rPr>
          <w:szCs w:val="24"/>
        </w:rPr>
        <w:t xml:space="preserve"> </w:t>
      </w:r>
      <w:r w:rsidRPr="001B05C8">
        <w:rPr>
          <w:szCs w:val="24"/>
        </w:rPr>
        <w:t>imprese, che non hanno alcun rapporto diretto con l’utente finale, viene confermata la debenza del canone in misura fissa pari</w:t>
      </w:r>
      <w:r>
        <w:rPr>
          <w:szCs w:val="24"/>
        </w:rPr>
        <w:t xml:space="preserve"> </w:t>
      </w:r>
      <w:r w:rsidRPr="001B05C8">
        <w:rPr>
          <w:szCs w:val="24"/>
        </w:rPr>
        <w:t>a euro 800, stabilita per coloro che hanno un numero di utenze inferiore alla soglia.</w:t>
      </w:r>
    </w:p>
    <w:p w14:paraId="0BF884DB" w14:textId="77777777" w:rsidR="003A28DA" w:rsidRPr="00A873D3" w:rsidRDefault="003A28DA" w:rsidP="003A28DA">
      <w:pPr>
        <w:jc w:val="both"/>
        <w:rPr>
          <w:b/>
          <w:bCs/>
        </w:rPr>
      </w:pPr>
    </w:p>
    <w:p w14:paraId="580D8446" w14:textId="77777777" w:rsidR="003A28DA" w:rsidRDefault="003A28DA" w:rsidP="003A28DA">
      <w:pPr>
        <w:pStyle w:val="PreformattatoHTML"/>
        <w:shd w:val="clear" w:color="auto" w:fill="FFFFFF"/>
        <w:jc w:val="both"/>
        <w:rPr>
          <w:rFonts w:ascii="Times New Roman" w:hAnsi="Times New Roman" w:cs="Times New Roman"/>
          <w:sz w:val="24"/>
          <w:szCs w:val="24"/>
        </w:rPr>
      </w:pPr>
      <w:r w:rsidRPr="00146330">
        <w:rPr>
          <w:rFonts w:ascii="Times New Roman" w:hAnsi="Times New Roman" w:cs="Times New Roman"/>
          <w:sz w:val="24"/>
          <w:szCs w:val="24"/>
        </w:rPr>
        <w:t xml:space="preserve">Vista che la Legge del 24 febbraio 2023 n. 14  ha prorogato sino al 31 dicembre 2023 quanto previsto all’art. 9 ter comma 5 del D.L. 137/2020 ossia: </w:t>
      </w:r>
      <w:r w:rsidRPr="00146330">
        <w:rPr>
          <w:rFonts w:ascii="Times New Roman" w:hAnsi="Times New Roman" w:cs="Times New Roman"/>
          <w:i/>
          <w:iCs/>
          <w:sz w:val="24"/>
          <w:szCs w:val="24"/>
        </w:rPr>
        <w:t>“… la posa in opera temporanea su vie, piazze, strade e altri spazi aperti di interesse culturale o paesaggistico, da parte dei soggetti di cui  al comma 2, di strutture amovibili, quali  dehors,  elementi  di  arredo urbano, attrezzature, pedane, tavolini, sedute e ombrelloni, purché funzionali all' attività di cui all'</w:t>
      </w:r>
      <w:hyperlink r:id="rId8" w:tgtFrame="_blank" w:history="1">
        <w:r w:rsidRPr="00146330">
          <w:rPr>
            <w:rStyle w:val="Collegamentoipertestuale"/>
            <w:rFonts w:ascii="Times New Roman" w:hAnsi="Times New Roman" w:cs="Times New Roman"/>
            <w:i/>
            <w:iCs/>
            <w:sz w:val="24"/>
            <w:szCs w:val="24"/>
          </w:rPr>
          <w:t>articolo 5 della legge n. 287 del 1991</w:t>
        </w:r>
      </w:hyperlink>
      <w:r w:rsidRPr="00146330">
        <w:rPr>
          <w:rFonts w:ascii="Times New Roman" w:hAnsi="Times New Roman" w:cs="Times New Roman"/>
          <w:i/>
          <w:iCs/>
          <w:sz w:val="24"/>
          <w:szCs w:val="24"/>
        </w:rPr>
        <w:t xml:space="preserve">, non è subordinata alle autorizzazioni di cui agli articoli  21 e 146 del codice di cui al </w:t>
      </w:r>
      <w:hyperlink r:id="rId9" w:tgtFrame="_blank" w:history="1">
        <w:r w:rsidRPr="00146330">
          <w:rPr>
            <w:rStyle w:val="Collegamentoipertestuale"/>
            <w:rFonts w:ascii="Times New Roman" w:hAnsi="Times New Roman" w:cs="Times New Roman"/>
            <w:i/>
            <w:iCs/>
            <w:sz w:val="24"/>
            <w:szCs w:val="24"/>
          </w:rPr>
          <w:t>decreto legislativo 22  gennaio  2004,  n. 42</w:t>
        </w:r>
      </w:hyperlink>
      <w:r w:rsidRPr="00146330">
        <w:rPr>
          <w:rFonts w:ascii="Times New Roman" w:hAnsi="Times New Roman" w:cs="Times New Roman"/>
          <w:i/>
          <w:iCs/>
          <w:sz w:val="24"/>
          <w:szCs w:val="24"/>
        </w:rPr>
        <w:t xml:space="preserve">. Per la posa in opera delle strutture amovibili di cui al periodo precedente è disapplicato il limite temporale di cui all'articolo 6, comma 1, lettera e-bis), del  testo  unico  di  cui  al  </w:t>
      </w:r>
      <w:hyperlink r:id="rId10" w:tgtFrame="_blank" w:history="1">
        <w:r w:rsidRPr="00146330">
          <w:rPr>
            <w:rStyle w:val="Collegamentoipertestuale"/>
            <w:rFonts w:ascii="Times New Roman" w:hAnsi="Times New Roman" w:cs="Times New Roman"/>
            <w:i/>
            <w:iCs/>
            <w:sz w:val="24"/>
            <w:szCs w:val="24"/>
          </w:rPr>
          <w:t>decreto  del Presidente della Repubblica 6 giugno 2001, n.  380</w:t>
        </w:r>
      </w:hyperlink>
      <w:r w:rsidRPr="00146330">
        <w:rPr>
          <w:rFonts w:ascii="Times New Roman" w:hAnsi="Times New Roman" w:cs="Times New Roman"/>
          <w:i/>
          <w:iCs/>
          <w:sz w:val="24"/>
          <w:szCs w:val="24"/>
        </w:rPr>
        <w:t xml:space="preserve">”. </w:t>
      </w:r>
      <w:r w:rsidRPr="00146330">
        <w:rPr>
          <w:rFonts w:ascii="Times New Roman" w:hAnsi="Times New Roman" w:cs="Times New Roman"/>
          <w:sz w:val="24"/>
          <w:szCs w:val="24"/>
        </w:rPr>
        <w:t>Resta fermo il pagamento del Canone e la necessità di ottenere l’autorizzazione da parte del Comune.</w:t>
      </w:r>
      <w:r>
        <w:rPr>
          <w:rFonts w:ascii="Times New Roman" w:hAnsi="Times New Roman" w:cs="Times New Roman"/>
          <w:sz w:val="24"/>
          <w:szCs w:val="24"/>
        </w:rPr>
        <w:t xml:space="preserve"> </w:t>
      </w:r>
    </w:p>
    <w:p w14:paraId="19984C8C" w14:textId="77777777" w:rsidR="003A28DA" w:rsidRDefault="003A28DA" w:rsidP="003A28DA">
      <w:pPr>
        <w:pStyle w:val="PreformattatoHTML"/>
        <w:shd w:val="clear" w:color="auto" w:fill="FFFFFF"/>
        <w:jc w:val="both"/>
        <w:rPr>
          <w:rFonts w:ascii="Times New Roman" w:hAnsi="Times New Roman" w:cs="Times New Roman"/>
          <w:i/>
          <w:iCs/>
          <w:sz w:val="24"/>
          <w:szCs w:val="24"/>
        </w:rPr>
      </w:pPr>
    </w:p>
    <w:p w14:paraId="02BD458B" w14:textId="77777777" w:rsidR="003A28DA" w:rsidRDefault="003A28DA" w:rsidP="003A28DA">
      <w:pPr>
        <w:jc w:val="both"/>
      </w:pPr>
      <w:r w:rsidRPr="00857415">
        <w:rPr>
          <w:szCs w:val="24"/>
        </w:rPr>
        <w:t>Rilevato che il gettito calcolato in via presuntiva sulla base delle tariffe riportate nell’allegato “A”,</w:t>
      </w:r>
      <w:r>
        <w:t xml:space="preserve"> assicura un gettito non inferiore a quello conseguito dal CANONE UNICO PATRIMONIALE relativo all’anno 2022;</w:t>
      </w:r>
    </w:p>
    <w:p w14:paraId="32219F31" w14:textId="77777777" w:rsidR="003A28DA" w:rsidRPr="00C90209" w:rsidRDefault="003A28DA" w:rsidP="003A28DA">
      <w:pPr>
        <w:jc w:val="both"/>
        <w:rPr>
          <w:szCs w:val="24"/>
        </w:rPr>
      </w:pPr>
    </w:p>
    <w:p w14:paraId="4EE4EF66" w14:textId="77777777" w:rsidR="003A28DA" w:rsidRDefault="003A28DA" w:rsidP="003A28DA">
      <w:pPr>
        <w:tabs>
          <w:tab w:val="left" w:pos="9072"/>
        </w:tabs>
        <w:jc w:val="both"/>
        <w:rPr>
          <w:szCs w:val="24"/>
        </w:rPr>
      </w:pPr>
      <w:r w:rsidRPr="00146330">
        <w:rPr>
          <w:szCs w:val="24"/>
        </w:rPr>
        <w:t>Visto</w:t>
      </w:r>
      <w:r w:rsidRPr="00146330">
        <w:rPr>
          <w:b/>
          <w:bCs/>
          <w:szCs w:val="24"/>
        </w:rPr>
        <w:t xml:space="preserve">, </w:t>
      </w:r>
      <w:r w:rsidRPr="00146330">
        <w:rPr>
          <w:szCs w:val="24"/>
        </w:rPr>
        <w:t>che l’art. 1, comma 775 della Legge 29 dicembre 2022, n. 197 proroga il termine per la deliberazione di bilancio di previsione 2023 da parte degli Enti Locali al 30 aprile 2023;</w:t>
      </w:r>
    </w:p>
    <w:p w14:paraId="3FC0E94E" w14:textId="77777777" w:rsidR="003A28DA" w:rsidRDefault="003A28DA" w:rsidP="003A28DA">
      <w:pPr>
        <w:tabs>
          <w:tab w:val="left" w:pos="9072"/>
        </w:tabs>
        <w:jc w:val="both"/>
        <w:rPr>
          <w:szCs w:val="24"/>
        </w:rPr>
      </w:pPr>
    </w:p>
    <w:p w14:paraId="66C33997" w14:textId="77777777" w:rsidR="003A28DA" w:rsidRPr="004C04E2" w:rsidRDefault="003A28DA" w:rsidP="003A28DA">
      <w:pPr>
        <w:tabs>
          <w:tab w:val="left" w:pos="8364"/>
        </w:tabs>
        <w:jc w:val="both"/>
      </w:pPr>
      <w:r w:rsidRPr="00146330">
        <w:t>Vista la circolare n. 2/DF del Ministero dell’Economia e delle Finanze del 22 novembre 2019 secondo la quale l’applicazione dell’art. 13, comma 15-ter del D.L. 06.12.2011, n. 201, convertito con modificazioni dalla legge 22.12.2011, n. 214 è relativa alle entrate di natura tributaria e non a quelle di natura non tributaria per le quali i comuni non devono procedere alla trasmissione al MEF dei relativi atti regolamentari e tariffari che non sono pubblicati sul sito internet “www.finanze.gov.it”;</w:t>
      </w:r>
    </w:p>
    <w:p w14:paraId="6A85310A" w14:textId="77777777" w:rsidR="003A28DA" w:rsidRPr="00C90209" w:rsidRDefault="003A28DA" w:rsidP="003A28DA">
      <w:pPr>
        <w:jc w:val="both"/>
        <w:rPr>
          <w:szCs w:val="24"/>
        </w:rPr>
      </w:pPr>
    </w:p>
    <w:p w14:paraId="12B74F03" w14:textId="77777777" w:rsidR="003A28DA" w:rsidRDefault="003A28DA" w:rsidP="003A28DA">
      <w:pPr>
        <w:jc w:val="both"/>
      </w:pPr>
      <w:r>
        <w:t>Visti i pareri in ordine alla regolarità tecnica e contabile, resi ai sensi e per gli effetti dell’art. 49 del d.lgs. n. 267/2000, allegati al presente provvedimento, di cui costituiscono parte integrante;</w:t>
      </w:r>
    </w:p>
    <w:p w14:paraId="1D5EDBAB" w14:textId="77777777" w:rsidR="003A28DA" w:rsidRDefault="003A28DA" w:rsidP="003A28DA">
      <w:pPr>
        <w:jc w:val="both"/>
      </w:pPr>
      <w:r>
        <w:t>Con voti unanimi favorevoli</w:t>
      </w:r>
    </w:p>
    <w:p w14:paraId="5B1DDDBA" w14:textId="77777777" w:rsidR="003A28DA" w:rsidRPr="00193AFA" w:rsidRDefault="003A28DA" w:rsidP="003A28DA">
      <w:pPr>
        <w:jc w:val="center"/>
        <w:rPr>
          <w:b/>
          <w:bCs/>
          <w:sz w:val="28"/>
          <w:szCs w:val="28"/>
        </w:rPr>
      </w:pPr>
      <w:r w:rsidRPr="00193AFA">
        <w:rPr>
          <w:b/>
          <w:bCs/>
          <w:sz w:val="28"/>
          <w:szCs w:val="28"/>
        </w:rPr>
        <w:t>DELIBERA</w:t>
      </w:r>
    </w:p>
    <w:p w14:paraId="23D001A9" w14:textId="77777777" w:rsidR="003A28DA" w:rsidRDefault="003A28DA" w:rsidP="003A28DA">
      <w:pPr>
        <w:jc w:val="both"/>
      </w:pPr>
    </w:p>
    <w:p w14:paraId="7DDC891B" w14:textId="77777777" w:rsidR="003A28DA" w:rsidRDefault="003A28DA" w:rsidP="003A28DA">
      <w:pPr>
        <w:jc w:val="both"/>
      </w:pPr>
      <w:r>
        <w:t>Di dare atto che le premesse sono parte integralmente e sostanzialmente della presente delibera.</w:t>
      </w:r>
    </w:p>
    <w:p w14:paraId="1084D369" w14:textId="77777777" w:rsidR="003A28DA" w:rsidRDefault="003A28DA" w:rsidP="003A28DA">
      <w:pPr>
        <w:jc w:val="both"/>
      </w:pPr>
    </w:p>
    <w:p w14:paraId="52AF2DB3" w14:textId="77777777" w:rsidR="003A28DA" w:rsidRPr="00D84BFD" w:rsidRDefault="003A28DA" w:rsidP="003A28DA">
      <w:pPr>
        <w:jc w:val="both"/>
        <w:rPr>
          <w:szCs w:val="24"/>
        </w:rPr>
      </w:pPr>
      <w:r w:rsidRPr="00D84BFD">
        <w:rPr>
          <w:szCs w:val="24"/>
        </w:rPr>
        <w:t>Di stabilire:</w:t>
      </w:r>
    </w:p>
    <w:p w14:paraId="2578FB9A" w14:textId="77777777" w:rsidR="003A28DA" w:rsidRPr="00D84BFD" w:rsidRDefault="003A28DA" w:rsidP="003A28DA">
      <w:pPr>
        <w:pStyle w:val="Paragrafoelenco"/>
        <w:numPr>
          <w:ilvl w:val="0"/>
          <w:numId w:val="6"/>
        </w:numPr>
        <w:contextualSpacing/>
        <w:jc w:val="both"/>
        <w:rPr>
          <w:sz w:val="24"/>
          <w:szCs w:val="24"/>
        </w:rPr>
      </w:pPr>
      <w:r w:rsidRPr="00D84BFD">
        <w:rPr>
          <w:sz w:val="24"/>
          <w:szCs w:val="24"/>
        </w:rPr>
        <w:t>il canone va corrisposto annualmente entro il 30 aprile dell’anno di riferimento se è determinato con tariffa annuale;</w:t>
      </w:r>
    </w:p>
    <w:p w14:paraId="2D59190A" w14:textId="77777777" w:rsidR="003A28DA" w:rsidRPr="00D84BFD" w:rsidRDefault="003A28DA" w:rsidP="003A28DA">
      <w:pPr>
        <w:pStyle w:val="Paragrafoelenco"/>
        <w:numPr>
          <w:ilvl w:val="0"/>
          <w:numId w:val="6"/>
        </w:numPr>
        <w:contextualSpacing/>
        <w:jc w:val="both"/>
        <w:rPr>
          <w:sz w:val="24"/>
          <w:szCs w:val="24"/>
        </w:rPr>
      </w:pPr>
      <w:r w:rsidRPr="00D84BFD">
        <w:rPr>
          <w:sz w:val="24"/>
          <w:szCs w:val="24"/>
        </w:rPr>
        <w:t>il canone va corrisposto all’atto di rilascio della concessione o autorizzazione se è determinato con tariffa giornaliera o per periodo inferiore all’anno.</w:t>
      </w:r>
    </w:p>
    <w:p w14:paraId="4E226328" w14:textId="77777777" w:rsidR="003A28DA" w:rsidRDefault="003A28DA" w:rsidP="003A28DA">
      <w:pPr>
        <w:jc w:val="both"/>
      </w:pPr>
    </w:p>
    <w:p w14:paraId="1842DD29" w14:textId="77777777" w:rsidR="003A28DA" w:rsidRDefault="003A28DA" w:rsidP="003A28DA">
      <w:pPr>
        <w:jc w:val="both"/>
      </w:pPr>
      <w:r>
        <w:t>Di approvare per le ragioni in premessa indicate, le tariffe 2023 del canone unico patrimoniale di concessione, autorizzazione o esposizione pubblicitaria e del canone mercatale, così come riportato nell’allegato “A” alla presente deliberazione per farne parte integrante e sostanziale del presente atto;</w:t>
      </w:r>
    </w:p>
    <w:p w14:paraId="582B2963" w14:textId="77777777" w:rsidR="003A28DA" w:rsidRDefault="003A28DA" w:rsidP="003A28DA">
      <w:pPr>
        <w:jc w:val="both"/>
      </w:pPr>
    </w:p>
    <w:p w14:paraId="0ADF9D59" w14:textId="77777777" w:rsidR="003A28DA" w:rsidRPr="00146330" w:rsidRDefault="003A28DA" w:rsidP="003A28DA">
      <w:pPr>
        <w:jc w:val="both"/>
      </w:pPr>
      <w:r w:rsidRPr="00146330">
        <w:t>Di stabilire che le tariffe approvate con la presente deliberazione decorrono dal 01.01.2023;</w:t>
      </w:r>
    </w:p>
    <w:p w14:paraId="3FA425C4" w14:textId="77777777" w:rsidR="003A28DA" w:rsidRPr="00146330" w:rsidRDefault="003A28DA" w:rsidP="003A28DA">
      <w:pPr>
        <w:jc w:val="both"/>
      </w:pPr>
    </w:p>
    <w:p w14:paraId="1749A028" w14:textId="7122A550" w:rsidR="003A28DA" w:rsidRPr="00146330" w:rsidRDefault="003A28DA" w:rsidP="003A28DA">
      <w:pPr>
        <w:jc w:val="both"/>
        <w:rPr>
          <w:sz w:val="22"/>
        </w:rPr>
      </w:pPr>
      <w:r w:rsidRPr="00146330">
        <w:t xml:space="preserve">Di stimare in € </w:t>
      </w:r>
      <w:r w:rsidR="00146330" w:rsidRPr="00146330">
        <w:t xml:space="preserve">2650,00 </w:t>
      </w:r>
      <w:r w:rsidRPr="00146330">
        <w:t>il gettito del Canone Unico Patrimoniale per l’anno 2023, derivante dalle tariffe come sopra determinate;</w:t>
      </w:r>
    </w:p>
    <w:p w14:paraId="7E91CABC" w14:textId="77777777" w:rsidR="003A28DA" w:rsidRPr="00146330" w:rsidRDefault="003A28DA" w:rsidP="003A28DA">
      <w:pPr>
        <w:jc w:val="both"/>
      </w:pPr>
    </w:p>
    <w:p w14:paraId="3A1B94F2" w14:textId="77777777" w:rsidR="003A28DA" w:rsidRDefault="003A28DA" w:rsidP="003A28DA">
      <w:pPr>
        <w:jc w:val="both"/>
      </w:pPr>
      <w:r w:rsidRPr="00146330">
        <w:t>Di provvedere alla pubblicazione del presente provvedimento sul sito web dell’Ente;</w:t>
      </w:r>
    </w:p>
    <w:p w14:paraId="4F2DCB20" w14:textId="77777777" w:rsidR="003A28DA" w:rsidRDefault="003A28DA" w:rsidP="003A28DA">
      <w:pPr>
        <w:jc w:val="both"/>
      </w:pPr>
    </w:p>
    <w:p w14:paraId="2AD661D8" w14:textId="77777777" w:rsidR="003A28DA" w:rsidRDefault="003A28DA" w:rsidP="003A28DA">
      <w:pPr>
        <w:jc w:val="both"/>
      </w:pPr>
      <w:r>
        <w:t xml:space="preserve">Di dichiarare, con separata ed unanime votazione, la presente deliberazione immediatamente eseguibile ai sensi dell’art. 134, comma 4, del decreto legislativo 267/2000 e </w:t>
      </w:r>
      <w:proofErr w:type="spellStart"/>
      <w:proofErr w:type="gramStart"/>
      <w:r>
        <w:t>ss.mm.ii</w:t>
      </w:r>
      <w:proofErr w:type="spellEnd"/>
      <w:proofErr w:type="gramEnd"/>
      <w:r>
        <w:t xml:space="preserve"> (T.U.E.L.), data la necessità di provvedere in merito.</w:t>
      </w:r>
    </w:p>
    <w:p w14:paraId="7D745F6D" w14:textId="77777777" w:rsidR="003A28DA" w:rsidRDefault="003A28DA" w:rsidP="003A28DA">
      <w:pPr>
        <w:pStyle w:val="Corpotesto"/>
      </w:pPr>
    </w:p>
    <w:p w14:paraId="53CB705E" w14:textId="3EA2BA5D" w:rsidR="00702641" w:rsidRDefault="00702641" w:rsidP="00702641"/>
    <w:p w14:paraId="03D45110" w14:textId="03368D09" w:rsidR="00702641" w:rsidRDefault="00702641" w:rsidP="00702641"/>
    <w:p w14:paraId="5ECD4AEA" w14:textId="04BFD924" w:rsidR="00702641" w:rsidRDefault="00702641" w:rsidP="00702641"/>
    <w:p w14:paraId="4EF9F44C" w14:textId="661DE69E" w:rsidR="00702641" w:rsidRDefault="00702641" w:rsidP="00702641"/>
    <w:p w14:paraId="6E166E88" w14:textId="54EB0657" w:rsidR="0065035D" w:rsidRDefault="0068003B" w:rsidP="00452F27">
      <w:pPr>
        <w:pStyle w:val="Titolo1"/>
        <w:tabs>
          <w:tab w:val="clear" w:pos="2552"/>
          <w:tab w:val="clear" w:pos="6946"/>
        </w:tabs>
        <w:rPr>
          <w:rFonts w:ascii="Arial" w:hAnsi="Arial" w:cs="Arial"/>
        </w:rPr>
      </w:pPr>
      <w:r>
        <w:rPr>
          <w:rFonts w:ascii="Arial" w:hAnsi="Arial" w:cs="Arial"/>
        </w:rPr>
        <w:lastRenderedPageBreak/>
        <w:t>l</w:t>
      </w:r>
      <w:r w:rsidR="00DD3C52">
        <w:rPr>
          <w:rFonts w:ascii="Arial" w:hAnsi="Arial" w:cs="Arial"/>
        </w:rPr>
        <w:t xml:space="preserve">etto, confermato e sottoscritto  </w:t>
      </w:r>
    </w:p>
    <w:p w14:paraId="4CBA3999" w14:textId="34C68CE4" w:rsidR="00452F27" w:rsidRPr="006663A8" w:rsidRDefault="0065035D" w:rsidP="00452F27">
      <w:pPr>
        <w:pStyle w:val="Titolo1"/>
        <w:tabs>
          <w:tab w:val="clear" w:pos="2552"/>
          <w:tab w:val="clear" w:pos="6946"/>
        </w:tabs>
        <w:rPr>
          <w:rFonts w:ascii="Arial" w:hAnsi="Arial" w:cs="Arial"/>
          <w:szCs w:val="24"/>
        </w:rPr>
      </w:pPr>
      <w:r>
        <w:rPr>
          <w:rFonts w:ascii="Arial" w:hAnsi="Arial" w:cs="Arial"/>
        </w:rPr>
        <w:t xml:space="preserve">                                                     </w:t>
      </w:r>
      <w:r w:rsidR="00DD3C52">
        <w:rPr>
          <w:rFonts w:ascii="Arial" w:hAnsi="Arial" w:cs="Arial"/>
        </w:rPr>
        <w:t xml:space="preserve">                                                           </w:t>
      </w:r>
      <w:r w:rsidR="00452F27" w:rsidRPr="006663A8">
        <w:rPr>
          <w:rFonts w:ascii="Arial" w:hAnsi="Arial" w:cs="Arial"/>
          <w:szCs w:val="24"/>
        </w:rPr>
        <w:t>ILSINDACO</w:t>
      </w:r>
    </w:p>
    <w:p w14:paraId="1F40923A" w14:textId="6B90DCC6" w:rsidR="00452F27" w:rsidRPr="006663A8" w:rsidRDefault="00037549" w:rsidP="00452F27">
      <w:pPr>
        <w:tabs>
          <w:tab w:val="left" w:pos="453"/>
          <w:tab w:val="left" w:pos="6237"/>
        </w:tabs>
        <w:jc w:val="both"/>
        <w:rPr>
          <w:rFonts w:ascii="Arial" w:hAnsi="Arial" w:cs="Arial"/>
          <w:snapToGrid w:val="0"/>
          <w:sz w:val="24"/>
          <w:szCs w:val="24"/>
        </w:rPr>
      </w:pPr>
      <w:r>
        <w:rPr>
          <w:rFonts w:ascii="Arial" w:hAnsi="Arial" w:cs="Arial"/>
          <w:sz w:val="24"/>
          <w:szCs w:val="24"/>
        </w:rPr>
        <w:t>I</w:t>
      </w:r>
      <w:r w:rsidR="00452F27" w:rsidRPr="006663A8">
        <w:rPr>
          <w:rFonts w:ascii="Arial" w:hAnsi="Arial" w:cs="Arial"/>
          <w:sz w:val="24"/>
          <w:szCs w:val="24"/>
        </w:rPr>
        <w:t>L</w:t>
      </w:r>
      <w:r w:rsidR="00452F27">
        <w:rPr>
          <w:rFonts w:ascii="Arial" w:hAnsi="Arial" w:cs="Arial"/>
          <w:sz w:val="24"/>
          <w:szCs w:val="24"/>
        </w:rPr>
        <w:t xml:space="preserve"> SEGRETARIO COMUNALE</w:t>
      </w:r>
      <w:r w:rsidR="00452F27">
        <w:rPr>
          <w:rFonts w:ascii="Arial" w:hAnsi="Arial" w:cs="Arial"/>
          <w:sz w:val="24"/>
          <w:szCs w:val="24"/>
        </w:rPr>
        <w:tab/>
        <w:t xml:space="preserve"> </w:t>
      </w:r>
      <w:r w:rsidR="00452F27">
        <w:rPr>
          <w:rFonts w:ascii="Arial" w:hAnsi="Arial" w:cs="Arial"/>
          <w:sz w:val="24"/>
          <w:szCs w:val="24"/>
        </w:rPr>
        <w:tab/>
        <w:t xml:space="preserve">   </w:t>
      </w:r>
      <w:r w:rsidR="00452F27" w:rsidRPr="006663A8">
        <w:rPr>
          <w:rFonts w:ascii="Arial" w:hAnsi="Arial" w:cs="Arial"/>
          <w:sz w:val="24"/>
          <w:szCs w:val="24"/>
        </w:rPr>
        <w:t xml:space="preserve"> </w:t>
      </w:r>
      <w:r w:rsidR="00120237">
        <w:rPr>
          <w:rFonts w:ascii="Arial" w:hAnsi="Arial" w:cs="Arial"/>
          <w:sz w:val="24"/>
          <w:szCs w:val="24"/>
        </w:rPr>
        <w:t xml:space="preserve">    </w:t>
      </w:r>
      <w:bookmarkStart w:id="3" w:name="_Hlk128995633"/>
      <w:r w:rsidR="0065035D">
        <w:rPr>
          <w:rFonts w:ascii="Arial" w:hAnsi="Arial" w:cs="Arial"/>
          <w:sz w:val="24"/>
          <w:szCs w:val="24"/>
        </w:rPr>
        <w:t>f.to</w:t>
      </w:r>
      <w:bookmarkEnd w:id="3"/>
      <w:r w:rsidR="00120237">
        <w:rPr>
          <w:rFonts w:ascii="Arial" w:hAnsi="Arial" w:cs="Arial"/>
          <w:sz w:val="24"/>
          <w:szCs w:val="24"/>
        </w:rPr>
        <w:t xml:space="preserve"> </w:t>
      </w:r>
      <w:r>
        <w:rPr>
          <w:rFonts w:ascii="Arial" w:hAnsi="Arial" w:cs="Arial"/>
          <w:sz w:val="24"/>
          <w:szCs w:val="24"/>
        </w:rPr>
        <w:t xml:space="preserve">  </w:t>
      </w:r>
      <w:r w:rsidR="00120237">
        <w:rPr>
          <w:rFonts w:ascii="Arial" w:hAnsi="Arial" w:cs="Arial"/>
          <w:sz w:val="24"/>
          <w:szCs w:val="24"/>
        </w:rPr>
        <w:t xml:space="preserve">Antonio Mercuri </w:t>
      </w:r>
      <w:r w:rsidR="00452F27" w:rsidRPr="006663A8">
        <w:rPr>
          <w:rFonts w:ascii="Arial" w:hAnsi="Arial" w:cs="Arial"/>
          <w:sz w:val="24"/>
          <w:szCs w:val="24"/>
        </w:rPr>
        <w:t xml:space="preserve">                      </w:t>
      </w:r>
    </w:p>
    <w:p w14:paraId="0B368747" w14:textId="2F728387" w:rsidR="00452F27" w:rsidRPr="006663A8" w:rsidRDefault="00037549" w:rsidP="00CC2EEF">
      <w:pPr>
        <w:pStyle w:val="Titolo1"/>
        <w:tabs>
          <w:tab w:val="clear" w:pos="453"/>
          <w:tab w:val="clear" w:pos="2552"/>
          <w:tab w:val="clear" w:pos="6946"/>
          <w:tab w:val="clear" w:pos="7597"/>
          <w:tab w:val="left" w:pos="142"/>
        </w:tabs>
        <w:rPr>
          <w:rFonts w:ascii="Arial" w:hAnsi="Arial" w:cs="Arial"/>
          <w:u w:val="double"/>
        </w:rPr>
      </w:pPr>
      <w:r>
        <w:rPr>
          <w:rFonts w:ascii="Arial" w:hAnsi="Arial" w:cs="Arial"/>
          <w:sz w:val="22"/>
          <w:szCs w:val="22"/>
        </w:rPr>
        <w:t xml:space="preserve">  </w:t>
      </w:r>
      <w:bookmarkStart w:id="4" w:name="_Hlk128995516"/>
      <w:r w:rsidR="0065035D">
        <w:rPr>
          <w:rFonts w:ascii="Arial" w:hAnsi="Arial" w:cs="Arial"/>
          <w:sz w:val="22"/>
          <w:szCs w:val="22"/>
        </w:rPr>
        <w:t>F.</w:t>
      </w:r>
      <w:proofErr w:type="gramStart"/>
      <w:r w:rsidR="0065035D">
        <w:rPr>
          <w:rFonts w:ascii="Arial" w:hAnsi="Arial" w:cs="Arial"/>
          <w:sz w:val="22"/>
          <w:szCs w:val="22"/>
        </w:rPr>
        <w:t xml:space="preserve">TO </w:t>
      </w:r>
      <w:bookmarkEnd w:id="4"/>
      <w:r>
        <w:rPr>
          <w:rFonts w:ascii="Arial" w:hAnsi="Arial" w:cs="Arial"/>
          <w:sz w:val="22"/>
          <w:szCs w:val="22"/>
        </w:rPr>
        <w:t xml:space="preserve"> </w:t>
      </w:r>
      <w:r w:rsidR="00CC2EEF">
        <w:rPr>
          <w:rFonts w:ascii="Arial" w:hAnsi="Arial" w:cs="Arial"/>
          <w:sz w:val="22"/>
          <w:szCs w:val="22"/>
        </w:rPr>
        <w:t>Dott.</w:t>
      </w:r>
      <w:proofErr w:type="gramEnd"/>
      <w:r w:rsidR="00CC2EEF">
        <w:rPr>
          <w:rFonts w:ascii="Arial" w:hAnsi="Arial" w:cs="Arial"/>
          <w:sz w:val="22"/>
          <w:szCs w:val="22"/>
        </w:rPr>
        <w:t xml:space="preserve"> Cesidio FALCONE</w:t>
      </w:r>
      <w:r w:rsidR="0065035D">
        <w:rPr>
          <w:rFonts w:ascii="Arial" w:hAnsi="Arial" w:cs="Arial"/>
          <w:sz w:val="22"/>
          <w:szCs w:val="22"/>
        </w:rPr>
        <w:t xml:space="preserve">                                                 </w:t>
      </w:r>
      <w:r w:rsidR="0065035D" w:rsidRPr="0065035D">
        <w:rPr>
          <w:rFonts w:ascii="Arial" w:hAnsi="Arial" w:cs="Arial"/>
          <w:sz w:val="22"/>
          <w:szCs w:val="22"/>
        </w:rPr>
        <w:t xml:space="preserve"> </w:t>
      </w:r>
    </w:p>
    <w:p w14:paraId="45F057DB"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14:paraId="31E08B0B" w14:textId="77777777" w:rsidR="008D7DFA" w:rsidRDefault="008D7DFA" w:rsidP="00452F27">
      <w:pPr>
        <w:tabs>
          <w:tab w:val="left" w:pos="453"/>
          <w:tab w:val="left" w:pos="6237"/>
        </w:tabs>
        <w:jc w:val="both"/>
        <w:rPr>
          <w:rFonts w:ascii="Arial" w:hAnsi="Arial" w:cs="Arial"/>
          <w:snapToGrid w:val="0"/>
          <w:sz w:val="24"/>
        </w:rPr>
      </w:pPr>
    </w:p>
    <w:p w14:paraId="306734B7" w14:textId="4EDEFD3E"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w:t>
      </w:r>
      <w:proofErr w:type="gramStart"/>
      <w:r w:rsidRPr="006663A8">
        <w:rPr>
          <w:rFonts w:ascii="Arial" w:hAnsi="Arial" w:cs="Arial"/>
          <w:snapToGrid w:val="0"/>
          <w:sz w:val="24"/>
        </w:rPr>
        <w:t>per  15</w:t>
      </w:r>
      <w:proofErr w:type="gramEnd"/>
      <w:r w:rsidRPr="006663A8">
        <w:rPr>
          <w:rFonts w:ascii="Arial" w:hAnsi="Arial" w:cs="Arial"/>
          <w:snapToGrid w:val="0"/>
          <w:sz w:val="24"/>
        </w:rPr>
        <w:t xml:space="preserve"> giorni consecutivi a partire dal</w:t>
      </w:r>
      <w:r w:rsidR="000E30D7">
        <w:rPr>
          <w:rFonts w:ascii="Arial" w:hAnsi="Arial" w:cs="Arial"/>
          <w:snapToGrid w:val="0"/>
          <w:sz w:val="24"/>
        </w:rPr>
        <w:t xml:space="preserve"> </w:t>
      </w:r>
      <w:r w:rsidR="002D4C1B">
        <w:rPr>
          <w:rFonts w:ascii="Arial" w:hAnsi="Arial" w:cs="Arial"/>
          <w:snapToGrid w:val="0"/>
          <w:sz w:val="24"/>
        </w:rPr>
        <w:t>31/03/2023</w:t>
      </w:r>
      <w:r w:rsidR="00160184">
        <w:rPr>
          <w:rFonts w:ascii="Arial" w:hAnsi="Arial" w:cs="Arial"/>
          <w:snapToGrid w:val="0"/>
          <w:sz w:val="24"/>
        </w:rPr>
        <w:t xml:space="preserve">  </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14:paraId="025E2740" w14:textId="77777777" w:rsidR="00452F27" w:rsidRPr="006663A8" w:rsidRDefault="00452F27" w:rsidP="00452F27">
      <w:pPr>
        <w:tabs>
          <w:tab w:val="left" w:pos="453"/>
          <w:tab w:val="left" w:pos="6237"/>
        </w:tabs>
        <w:jc w:val="both"/>
        <w:rPr>
          <w:rFonts w:ascii="Arial" w:hAnsi="Arial" w:cs="Arial"/>
          <w:snapToGrid w:val="0"/>
          <w:sz w:val="24"/>
        </w:rPr>
      </w:pPr>
    </w:p>
    <w:p w14:paraId="711482C3" w14:textId="0BD74069" w:rsidR="00452F27" w:rsidRPr="004E7584" w:rsidRDefault="00452F27" w:rsidP="00452F27">
      <w:pPr>
        <w:tabs>
          <w:tab w:val="left" w:pos="453"/>
          <w:tab w:val="left" w:pos="6237"/>
        </w:tabs>
        <w:jc w:val="both"/>
        <w:rPr>
          <w:rFonts w:ascii="Arial" w:hAnsi="Arial" w:cs="Arial"/>
          <w:b/>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r w:rsidR="009C5FA7">
        <w:rPr>
          <w:rFonts w:ascii="Arial" w:hAnsi="Arial" w:cs="Arial"/>
          <w:snapToGrid w:val="0"/>
          <w:sz w:val="24"/>
        </w:rPr>
        <w:t>3</w:t>
      </w:r>
      <w:r w:rsidR="002D4C1B">
        <w:rPr>
          <w:rFonts w:ascii="Arial" w:hAnsi="Arial" w:cs="Arial"/>
          <w:snapToGrid w:val="0"/>
          <w:sz w:val="24"/>
        </w:rPr>
        <w:t>1</w:t>
      </w:r>
      <w:r w:rsidR="009C5FA7">
        <w:rPr>
          <w:rFonts w:ascii="Arial" w:hAnsi="Arial" w:cs="Arial"/>
          <w:snapToGrid w:val="0"/>
          <w:sz w:val="24"/>
        </w:rPr>
        <w:t>/03</w:t>
      </w:r>
      <w:r w:rsidR="004402B9">
        <w:rPr>
          <w:rFonts w:ascii="Arial" w:hAnsi="Arial" w:cs="Arial"/>
          <w:snapToGrid w:val="0"/>
          <w:sz w:val="24"/>
        </w:rPr>
        <w:t>/2023</w:t>
      </w:r>
    </w:p>
    <w:p w14:paraId="3AE95BBE"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14:paraId="25715DF8" w14:textId="1E90D5FC"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672601">
        <w:rPr>
          <w:rFonts w:ascii="Arial" w:hAnsi="Arial" w:cs="Arial"/>
          <w:snapToGrid w:val="0"/>
          <w:sz w:val="24"/>
        </w:rPr>
        <w:t xml:space="preserve">     </w:t>
      </w:r>
      <w:r w:rsidRPr="006663A8">
        <w:rPr>
          <w:rFonts w:ascii="Arial" w:hAnsi="Arial" w:cs="Arial"/>
          <w:snapToGrid w:val="0"/>
          <w:sz w:val="24"/>
        </w:rPr>
        <w:t xml:space="preserve"> </w:t>
      </w:r>
      <w:r w:rsidR="0065035D">
        <w:rPr>
          <w:rFonts w:ascii="Arial" w:hAnsi="Arial" w:cs="Arial"/>
          <w:sz w:val="24"/>
          <w:szCs w:val="24"/>
        </w:rPr>
        <w:t>f.to</w:t>
      </w:r>
      <w:r w:rsidR="0065035D" w:rsidRPr="006663A8">
        <w:rPr>
          <w:rFonts w:ascii="Arial" w:hAnsi="Arial" w:cs="Arial"/>
          <w:szCs w:val="24"/>
        </w:rPr>
        <w:t xml:space="preserve"> </w:t>
      </w:r>
      <w:r w:rsidRPr="006663A8">
        <w:rPr>
          <w:rFonts w:ascii="Arial" w:hAnsi="Arial" w:cs="Arial"/>
          <w:szCs w:val="24"/>
        </w:rPr>
        <w:t xml:space="preserve">Dr. Cesidio FALCONE                                                                      </w:t>
      </w:r>
    </w:p>
    <w:p w14:paraId="092EB3B0"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14:paraId="5FB00A14" w14:textId="77777777" w:rsidR="00452F27" w:rsidRDefault="00452F27" w:rsidP="00452F27">
      <w:pPr>
        <w:tabs>
          <w:tab w:val="left" w:pos="453"/>
          <w:tab w:val="left" w:pos="6237"/>
        </w:tabs>
        <w:jc w:val="both"/>
        <w:rPr>
          <w:rFonts w:ascii="Arial" w:hAnsi="Arial" w:cs="Arial"/>
          <w:snapToGrid w:val="0"/>
          <w:sz w:val="24"/>
        </w:rPr>
      </w:pPr>
    </w:p>
    <w:p w14:paraId="7F7F825F"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14:paraId="59B95FEF" w14:textId="77777777" w:rsidR="00452F27" w:rsidRPr="00452F27" w:rsidRDefault="00452F27" w:rsidP="00452F27">
      <w:pPr>
        <w:tabs>
          <w:tab w:val="left" w:pos="453"/>
          <w:tab w:val="left" w:pos="6237"/>
        </w:tabs>
        <w:jc w:val="both"/>
        <w:rPr>
          <w:rFonts w:ascii="Arial" w:hAnsi="Arial" w:cs="Arial"/>
          <w:b/>
          <w:snapToGrid w:val="0"/>
          <w:sz w:val="24"/>
        </w:rPr>
      </w:pPr>
    </w:p>
    <w:p w14:paraId="37A2438B" w14:textId="77777777"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14:paraId="6705FEAA" w14:textId="77777777" w:rsidR="00452F27" w:rsidRPr="006663A8" w:rsidRDefault="00452F27" w:rsidP="00452F27">
      <w:pPr>
        <w:tabs>
          <w:tab w:val="left" w:pos="453"/>
          <w:tab w:val="left" w:pos="6237"/>
        </w:tabs>
        <w:jc w:val="both"/>
        <w:rPr>
          <w:rFonts w:ascii="Arial" w:hAnsi="Arial" w:cs="Arial"/>
          <w:snapToGrid w:val="0"/>
          <w:sz w:val="24"/>
        </w:rPr>
      </w:pPr>
    </w:p>
    <w:p w14:paraId="6C07B16C"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14:paraId="7E2E6B20" w14:textId="77777777" w:rsidR="00452F27" w:rsidRPr="006663A8" w:rsidRDefault="00452F27" w:rsidP="00452F27">
      <w:pPr>
        <w:tabs>
          <w:tab w:val="left" w:pos="453"/>
          <w:tab w:val="left" w:pos="6237"/>
        </w:tabs>
        <w:jc w:val="both"/>
        <w:rPr>
          <w:rFonts w:ascii="Arial" w:hAnsi="Arial" w:cs="Arial"/>
          <w:snapToGrid w:val="0"/>
          <w:sz w:val="24"/>
        </w:rPr>
      </w:pPr>
    </w:p>
    <w:p w14:paraId="55D0A43C" w14:textId="3BF79E09" w:rsidR="003F6405" w:rsidRPr="00B5762B" w:rsidRDefault="00DD3C52" w:rsidP="00AE3D92">
      <w:pPr>
        <w:numPr>
          <w:ilvl w:val="0"/>
          <w:numId w:val="1"/>
        </w:numPr>
        <w:tabs>
          <w:tab w:val="left" w:pos="453"/>
          <w:tab w:val="left" w:pos="6237"/>
        </w:tabs>
        <w:jc w:val="both"/>
        <w:rPr>
          <w:rFonts w:ascii="Arial" w:hAnsi="Arial" w:cs="Arial"/>
          <w:b/>
          <w:snapToGrid w:val="0"/>
          <w:sz w:val="24"/>
        </w:rPr>
      </w:pPr>
      <w:r w:rsidRPr="003F6405">
        <w:rPr>
          <w:rFonts w:ascii="Arial" w:hAnsi="Arial" w:cs="Arial"/>
          <w:snapToGrid w:val="0"/>
          <w:sz w:val="24"/>
        </w:rPr>
        <w:t xml:space="preserve"> </w:t>
      </w:r>
      <w:r w:rsidR="00452F27" w:rsidRPr="003F6405">
        <w:rPr>
          <w:rFonts w:ascii="Arial" w:hAnsi="Arial" w:cs="Arial"/>
          <w:snapToGrid w:val="0"/>
          <w:sz w:val="24"/>
        </w:rPr>
        <w:t>è stata dichiarata immediatamente eseguibile il giorno</w:t>
      </w:r>
      <w:r w:rsidR="0094145E" w:rsidRPr="003F6405">
        <w:rPr>
          <w:rFonts w:ascii="Arial" w:hAnsi="Arial" w:cs="Arial"/>
          <w:snapToGrid w:val="0"/>
          <w:sz w:val="24"/>
        </w:rPr>
        <w:t xml:space="preserve">  </w:t>
      </w:r>
    </w:p>
    <w:p w14:paraId="40396425" w14:textId="77777777" w:rsidR="00452F27" w:rsidRP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w:t>
      </w:r>
      <w:r w:rsidR="00452F27" w:rsidRPr="003F6405">
        <w:rPr>
          <w:rFonts w:ascii="Arial" w:hAnsi="Arial" w:cs="Arial"/>
          <w:snapToGrid w:val="0"/>
          <w:sz w:val="24"/>
        </w:rPr>
        <w:t xml:space="preserve">art.134, co.4 </w:t>
      </w:r>
      <w:proofErr w:type="spellStart"/>
      <w:r w:rsidR="00452F27" w:rsidRPr="003F6405">
        <w:rPr>
          <w:rFonts w:ascii="Arial" w:hAnsi="Arial" w:cs="Arial"/>
          <w:snapToGrid w:val="0"/>
          <w:sz w:val="24"/>
        </w:rPr>
        <w:t>D.Lgs.</w:t>
      </w:r>
      <w:proofErr w:type="spellEnd"/>
      <w:r w:rsidR="00452F27" w:rsidRPr="003F6405">
        <w:rPr>
          <w:rFonts w:ascii="Arial" w:hAnsi="Arial" w:cs="Arial"/>
          <w:snapToGrid w:val="0"/>
          <w:sz w:val="24"/>
        </w:rPr>
        <w:t xml:space="preserve"> 267/2000); </w:t>
      </w:r>
    </w:p>
    <w:p w14:paraId="74C3AAD1" w14:textId="77777777"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 xml:space="preserve">consecutivi dalla pubblicazione (art.134, co.3 </w:t>
      </w:r>
      <w:proofErr w:type="gramStart"/>
      <w:r w:rsidR="00452F27" w:rsidRPr="006663A8">
        <w:rPr>
          <w:rFonts w:ascii="Arial" w:hAnsi="Arial" w:cs="Arial"/>
          <w:snapToGrid w:val="0"/>
          <w:sz w:val="24"/>
        </w:rPr>
        <w:t>D.Lgs</w:t>
      </w:r>
      <w:proofErr w:type="gramEnd"/>
      <w:r w:rsidR="00452F27" w:rsidRPr="006663A8">
        <w:rPr>
          <w:rFonts w:ascii="Arial" w:hAnsi="Arial" w:cs="Arial"/>
          <w:snapToGrid w:val="0"/>
          <w:sz w:val="24"/>
        </w:rPr>
        <w:t>.267/2000).</w:t>
      </w:r>
    </w:p>
    <w:p w14:paraId="117D09CB" w14:textId="77777777" w:rsidR="00DD3C52" w:rsidRDefault="00DD3C52" w:rsidP="00452F27">
      <w:pPr>
        <w:tabs>
          <w:tab w:val="left" w:pos="453"/>
          <w:tab w:val="left" w:pos="6237"/>
        </w:tabs>
        <w:jc w:val="both"/>
        <w:rPr>
          <w:rFonts w:ascii="Arial" w:hAnsi="Arial" w:cs="Arial"/>
          <w:snapToGrid w:val="0"/>
          <w:sz w:val="24"/>
        </w:rPr>
      </w:pPr>
    </w:p>
    <w:p w14:paraId="04ED5996" w14:textId="22CCBD1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Pr="00672601">
        <w:rPr>
          <w:rFonts w:ascii="Arial" w:hAnsi="Arial" w:cs="Arial"/>
          <w:b/>
          <w:bCs/>
          <w:snapToGrid w:val="0"/>
          <w:sz w:val="24"/>
        </w:rPr>
        <w:t>,</w:t>
      </w:r>
      <w:r w:rsidR="00AF1A30" w:rsidRPr="00672601">
        <w:rPr>
          <w:rFonts w:ascii="Arial" w:hAnsi="Arial" w:cs="Arial"/>
          <w:b/>
          <w:bCs/>
          <w:snapToGrid w:val="0"/>
          <w:sz w:val="24"/>
        </w:rPr>
        <w:t xml:space="preserve"> </w:t>
      </w:r>
      <w:r w:rsidR="009C5FA7">
        <w:rPr>
          <w:rFonts w:ascii="Arial" w:hAnsi="Arial" w:cs="Arial"/>
          <w:b/>
          <w:bCs/>
          <w:snapToGrid w:val="0"/>
          <w:sz w:val="24"/>
        </w:rPr>
        <w:t>3</w:t>
      </w:r>
      <w:r w:rsidR="002D4C1B">
        <w:rPr>
          <w:rFonts w:ascii="Arial" w:hAnsi="Arial" w:cs="Arial"/>
          <w:b/>
          <w:bCs/>
          <w:snapToGrid w:val="0"/>
          <w:sz w:val="24"/>
        </w:rPr>
        <w:t>1</w:t>
      </w:r>
      <w:r w:rsidR="009C5FA7">
        <w:rPr>
          <w:rFonts w:ascii="Arial" w:hAnsi="Arial" w:cs="Arial"/>
          <w:b/>
          <w:bCs/>
          <w:snapToGrid w:val="0"/>
          <w:sz w:val="24"/>
        </w:rPr>
        <w:t>/03/2023</w:t>
      </w:r>
    </w:p>
    <w:p w14:paraId="209282BF"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14:paraId="2FAE9628" w14:textId="356DE536"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8C15E4">
        <w:rPr>
          <w:rFonts w:ascii="Arial" w:hAnsi="Arial" w:cs="Arial"/>
          <w:snapToGrid w:val="0"/>
          <w:sz w:val="24"/>
        </w:rPr>
        <w:t xml:space="preserve"> </w:t>
      </w:r>
      <w:r w:rsidR="00672601">
        <w:rPr>
          <w:rFonts w:ascii="Arial" w:hAnsi="Arial" w:cs="Arial"/>
          <w:snapToGrid w:val="0"/>
          <w:sz w:val="24"/>
        </w:rPr>
        <w:t xml:space="preserve">  </w:t>
      </w:r>
      <w:r w:rsidR="0065035D">
        <w:rPr>
          <w:rFonts w:ascii="Arial" w:hAnsi="Arial" w:cs="Arial"/>
          <w:sz w:val="24"/>
          <w:szCs w:val="24"/>
        </w:rPr>
        <w:t>f.to</w:t>
      </w:r>
      <w:r w:rsidR="00672601">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14:paraId="57C33BEB" w14:textId="77777777" w:rsidR="00DD3C52" w:rsidRDefault="00DD3C52" w:rsidP="00452F27">
      <w:pPr>
        <w:tabs>
          <w:tab w:val="left" w:pos="453"/>
          <w:tab w:val="left" w:pos="6237"/>
        </w:tabs>
        <w:jc w:val="both"/>
        <w:rPr>
          <w:rFonts w:ascii="Arial" w:hAnsi="Arial" w:cs="Arial"/>
        </w:rPr>
      </w:pPr>
    </w:p>
    <w:p w14:paraId="77DE99D5" w14:textId="77777777"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14:paraId="31C07D10"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14:paraId="408A8BE1" w14:textId="3563A25D"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r w:rsidR="0065035D">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bookmarkStart w:id="5" w:name="Elenco5"/>
      <w:r w:rsidR="0065035D">
        <w:rPr>
          <w:rFonts w:ascii="Arial" w:hAnsi="Arial" w:cs="Arial"/>
          <w:snapToGrid w:val="0"/>
          <w:sz w:val="24"/>
        </w:rPr>
        <w:instrText xml:space="preserve"> FORMDROPDOWN </w:instrText>
      </w:r>
      <w:r w:rsidR="00000000">
        <w:rPr>
          <w:rFonts w:ascii="Arial" w:hAnsi="Arial" w:cs="Arial"/>
          <w:snapToGrid w:val="0"/>
          <w:sz w:val="24"/>
        </w:rPr>
      </w:r>
      <w:r w:rsidR="00000000">
        <w:rPr>
          <w:rFonts w:ascii="Arial" w:hAnsi="Arial" w:cs="Arial"/>
          <w:snapToGrid w:val="0"/>
          <w:sz w:val="24"/>
        </w:rPr>
        <w:fldChar w:fldCharType="separate"/>
      </w:r>
      <w:r w:rsidR="0065035D">
        <w:rPr>
          <w:rFonts w:ascii="Arial" w:hAnsi="Arial" w:cs="Arial"/>
          <w:snapToGrid w:val="0"/>
          <w:sz w:val="24"/>
        </w:rPr>
        <w:fldChar w:fldCharType="end"/>
      </w:r>
      <w:bookmarkEnd w:id="5"/>
    </w:p>
    <w:p w14:paraId="1E251201" w14:textId="53FF1917" w:rsidR="00452F27" w:rsidRPr="006663A8" w:rsidRDefault="0065035D" w:rsidP="00672601">
      <w:pPr>
        <w:tabs>
          <w:tab w:val="left" w:pos="453"/>
          <w:tab w:val="left" w:pos="6237"/>
        </w:tabs>
        <w:ind w:left="360"/>
        <w:jc w:val="right"/>
        <w:rPr>
          <w:rFonts w:ascii="Arial" w:hAnsi="Arial" w:cs="Arial"/>
          <w:sz w:val="24"/>
        </w:rPr>
      </w:pPr>
      <w:r>
        <w:rPr>
          <w:rFonts w:ascii="Arial" w:hAnsi="Arial" w:cs="Arial"/>
          <w:sz w:val="24"/>
          <w:szCs w:val="24"/>
        </w:rPr>
        <w:t>f.to</w:t>
      </w:r>
      <w:r w:rsidR="00DF4F71">
        <w:rPr>
          <w:rFonts w:ascii="Arial" w:hAnsi="Arial" w:cs="Arial"/>
          <w:snapToGrid w:val="0"/>
          <w:sz w:val="24"/>
        </w:rPr>
        <w:t xml:space="preserve"> </w:t>
      </w:r>
      <w:r w:rsidR="00DF4F71" w:rsidRPr="006663A8">
        <w:rPr>
          <w:rFonts w:ascii="Arial" w:hAnsi="Arial" w:cs="Arial"/>
          <w:snapToGrid w:val="0"/>
          <w:sz w:val="24"/>
        </w:rPr>
        <w:t xml:space="preserve">  </w:t>
      </w:r>
      <w:r w:rsidR="00672601" w:rsidRPr="006663A8">
        <w:rPr>
          <w:rFonts w:ascii="Arial" w:hAnsi="Arial" w:cs="Arial"/>
          <w:szCs w:val="24"/>
        </w:rPr>
        <w:t xml:space="preserve">Dr. </w:t>
      </w:r>
      <w:r w:rsidR="00672601" w:rsidRPr="006663A8">
        <w:rPr>
          <w:rFonts w:ascii="Arial" w:hAnsi="Arial" w:cs="Arial"/>
        </w:rPr>
        <w:t xml:space="preserve">  </w:t>
      </w:r>
      <w:r w:rsidR="00672601" w:rsidRPr="006663A8">
        <w:rPr>
          <w:rFonts w:ascii="Arial" w:hAnsi="Arial" w:cs="Arial"/>
          <w:szCs w:val="24"/>
        </w:rPr>
        <w:t>Cesidio FALCON</w:t>
      </w:r>
      <w:r w:rsidR="00672601">
        <w:rPr>
          <w:rFonts w:ascii="Arial" w:hAnsi="Arial" w:cs="Arial"/>
          <w:szCs w:val="24"/>
        </w:rPr>
        <w:t>E</w:t>
      </w:r>
    </w:p>
    <w:p w14:paraId="0F306CFC" w14:textId="77777777" w:rsidR="00DD3C52" w:rsidRDefault="00DD3C52" w:rsidP="00452F27">
      <w:pPr>
        <w:tabs>
          <w:tab w:val="left" w:pos="453"/>
          <w:tab w:val="left" w:pos="6237"/>
        </w:tabs>
        <w:jc w:val="both"/>
        <w:rPr>
          <w:rFonts w:ascii="Arial" w:hAnsi="Arial" w:cs="Arial"/>
          <w:b/>
          <w:snapToGrid w:val="0"/>
          <w:sz w:val="24"/>
        </w:rPr>
      </w:pPr>
    </w:p>
    <w:p w14:paraId="4FD1B100" w14:textId="77777777"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14:paraId="3A802258"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14:paraId="60B25F89"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14:paraId="3607F53E" w14:textId="77777777" w:rsidR="00452F27" w:rsidRPr="006663A8" w:rsidRDefault="00452F27" w:rsidP="00452F27">
      <w:pPr>
        <w:tabs>
          <w:tab w:val="left" w:pos="453"/>
          <w:tab w:val="left" w:pos="6237"/>
        </w:tabs>
        <w:jc w:val="both"/>
        <w:rPr>
          <w:rFonts w:ascii="Arial" w:hAnsi="Arial" w:cs="Arial"/>
          <w:snapToGrid w:val="0"/>
          <w:sz w:val="24"/>
        </w:rPr>
      </w:pPr>
    </w:p>
    <w:p w14:paraId="6A5829A2" w14:textId="10444CFB" w:rsidR="00452F27" w:rsidRDefault="0065035D" w:rsidP="00452F27">
      <w:pPr>
        <w:tabs>
          <w:tab w:val="left" w:pos="453"/>
          <w:tab w:val="left" w:pos="6237"/>
        </w:tabs>
        <w:jc w:val="right"/>
        <w:rPr>
          <w:rFonts w:ascii="Arial" w:hAnsi="Arial" w:cs="Arial"/>
          <w:snapToGrid w:val="0"/>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sidR="00000000">
        <w:rPr>
          <w:rFonts w:ascii="Arial" w:hAnsi="Arial" w:cs="Arial"/>
          <w:snapToGrid w:val="0"/>
          <w:sz w:val="24"/>
        </w:rPr>
      </w:r>
      <w:r w:rsidR="00000000">
        <w:rPr>
          <w:rFonts w:ascii="Arial" w:hAnsi="Arial" w:cs="Arial"/>
          <w:snapToGrid w:val="0"/>
          <w:sz w:val="24"/>
        </w:rPr>
        <w:fldChar w:fldCharType="separate"/>
      </w:r>
      <w:r>
        <w:rPr>
          <w:rFonts w:ascii="Arial" w:hAnsi="Arial" w:cs="Arial"/>
          <w:snapToGrid w:val="0"/>
          <w:sz w:val="24"/>
        </w:rPr>
        <w:fldChar w:fldCharType="end"/>
      </w:r>
    </w:p>
    <w:p w14:paraId="02302C3C" w14:textId="77C922D8" w:rsidR="00672601" w:rsidRPr="006663A8" w:rsidRDefault="0065035D" w:rsidP="00452F27">
      <w:pPr>
        <w:tabs>
          <w:tab w:val="left" w:pos="453"/>
          <w:tab w:val="left" w:pos="6237"/>
        </w:tabs>
        <w:jc w:val="right"/>
        <w:rPr>
          <w:rFonts w:ascii="Arial" w:hAnsi="Arial" w:cs="Arial"/>
          <w:sz w:val="24"/>
        </w:rPr>
      </w:pPr>
      <w:r>
        <w:rPr>
          <w:rFonts w:ascii="Arial" w:hAnsi="Arial" w:cs="Arial"/>
          <w:sz w:val="24"/>
          <w:szCs w:val="24"/>
        </w:rPr>
        <w:t>f.to</w:t>
      </w:r>
      <w:r w:rsidR="00DF4F71" w:rsidRPr="006663A8">
        <w:rPr>
          <w:rFonts w:ascii="Arial" w:hAnsi="Arial" w:cs="Arial"/>
          <w:snapToGrid w:val="0"/>
          <w:sz w:val="24"/>
        </w:rPr>
        <w:t xml:space="preserve"> </w:t>
      </w:r>
      <w:r w:rsidR="00672601" w:rsidRPr="006663A8">
        <w:rPr>
          <w:rFonts w:ascii="Arial" w:hAnsi="Arial" w:cs="Arial"/>
          <w:szCs w:val="24"/>
        </w:rPr>
        <w:t xml:space="preserve">Dr. </w:t>
      </w:r>
      <w:r w:rsidR="00672601" w:rsidRPr="006663A8">
        <w:rPr>
          <w:rFonts w:ascii="Arial" w:hAnsi="Arial" w:cs="Arial"/>
        </w:rPr>
        <w:t xml:space="preserve">  </w:t>
      </w:r>
      <w:r w:rsidR="00672601" w:rsidRPr="006663A8">
        <w:rPr>
          <w:rFonts w:ascii="Arial" w:hAnsi="Arial" w:cs="Arial"/>
          <w:szCs w:val="24"/>
        </w:rPr>
        <w:t>Cesidio FALCON</w:t>
      </w:r>
      <w:r w:rsidR="00672601">
        <w:rPr>
          <w:rFonts w:ascii="Arial" w:hAnsi="Arial" w:cs="Arial"/>
          <w:szCs w:val="24"/>
        </w:rPr>
        <w:t>E</w:t>
      </w:r>
    </w:p>
    <w:p w14:paraId="53420B16" w14:textId="77777777" w:rsidR="002E2FCE" w:rsidRDefault="00452F27" w:rsidP="002E2FCE">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14:paraId="27B01FAA" w14:textId="3648D2EA" w:rsidR="00242FB4" w:rsidRDefault="002E2FCE" w:rsidP="002E2FCE">
      <w:pPr>
        <w:pBdr>
          <w:bottom w:val="single" w:sz="4" w:space="1" w:color="auto"/>
        </w:pBdr>
        <w:tabs>
          <w:tab w:val="left" w:pos="453"/>
          <w:tab w:val="left" w:pos="6237"/>
        </w:tabs>
        <w:jc w:val="both"/>
        <w:rPr>
          <w:rFonts w:ascii="Arial" w:hAnsi="Arial" w:cs="Arial"/>
          <w:sz w:val="24"/>
        </w:rPr>
      </w:pPr>
      <w:r>
        <w:rPr>
          <w:rFonts w:ascii="Arial" w:hAnsi="Arial" w:cs="Arial"/>
          <w:sz w:val="24"/>
        </w:rPr>
        <w:tab/>
        <w:t xml:space="preserve"> </w:t>
      </w:r>
    </w:p>
    <w:p w14:paraId="22D02F14" w14:textId="0C11416E" w:rsidR="0065035D" w:rsidRPr="0065035D" w:rsidRDefault="0065035D" w:rsidP="0065035D">
      <w:pPr>
        <w:rPr>
          <w:rFonts w:ascii="Arial" w:hAnsi="Arial" w:cs="Arial"/>
          <w:sz w:val="24"/>
        </w:rPr>
      </w:pPr>
      <w:proofErr w:type="gramStart"/>
      <w:r>
        <w:rPr>
          <w:rFonts w:ascii="Arial" w:hAnsi="Arial" w:cs="Arial"/>
          <w:sz w:val="24"/>
        </w:rPr>
        <w:t>E’</w:t>
      </w:r>
      <w:proofErr w:type="gramEnd"/>
      <w:r>
        <w:rPr>
          <w:rFonts w:ascii="Arial" w:hAnsi="Arial" w:cs="Arial"/>
          <w:sz w:val="24"/>
        </w:rPr>
        <w:t xml:space="preserve"> copia conforme all’originale </w:t>
      </w:r>
    </w:p>
    <w:p w14:paraId="620B66AB" w14:textId="6A6EAC39" w:rsidR="0065035D" w:rsidRDefault="0065035D" w:rsidP="0065035D">
      <w:pPr>
        <w:rPr>
          <w:rFonts w:ascii="Arial" w:hAnsi="Arial" w:cs="Arial"/>
          <w:sz w:val="24"/>
        </w:rPr>
      </w:pPr>
    </w:p>
    <w:p w14:paraId="3CA81E1B" w14:textId="25769F54" w:rsidR="0065035D" w:rsidRPr="006663A8" w:rsidRDefault="0065035D" w:rsidP="0065035D">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Pr="00672601">
        <w:rPr>
          <w:rFonts w:ascii="Arial" w:hAnsi="Arial" w:cs="Arial"/>
          <w:b/>
          <w:bCs/>
          <w:snapToGrid w:val="0"/>
          <w:sz w:val="24"/>
        </w:rPr>
        <w:t xml:space="preserve">, </w:t>
      </w:r>
    </w:p>
    <w:p w14:paraId="1897B58C" w14:textId="77777777" w:rsidR="0065035D" w:rsidRPr="006663A8" w:rsidRDefault="0065035D" w:rsidP="0065035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14:paraId="0F1C7722" w14:textId="28715DF8" w:rsidR="0065035D" w:rsidRPr="006663A8" w:rsidRDefault="0065035D" w:rsidP="0065035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14:paraId="5212FA77" w14:textId="77777777" w:rsidR="0065035D" w:rsidRDefault="0065035D" w:rsidP="0065035D">
      <w:pPr>
        <w:tabs>
          <w:tab w:val="left" w:pos="453"/>
          <w:tab w:val="left" w:pos="6237"/>
        </w:tabs>
        <w:jc w:val="both"/>
        <w:rPr>
          <w:rFonts w:ascii="Arial" w:hAnsi="Arial" w:cs="Arial"/>
        </w:rPr>
      </w:pPr>
    </w:p>
    <w:sectPr w:rsidR="0065035D" w:rsidSect="00606A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CD46" w14:textId="77777777" w:rsidR="000D25B4" w:rsidRDefault="000D25B4" w:rsidP="00746F97">
      <w:r>
        <w:separator/>
      </w:r>
    </w:p>
  </w:endnote>
  <w:endnote w:type="continuationSeparator" w:id="0">
    <w:p w14:paraId="771547A0" w14:textId="77777777" w:rsidR="000D25B4" w:rsidRDefault="000D25B4" w:rsidP="0074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FA96" w14:textId="77777777" w:rsidR="000D25B4" w:rsidRDefault="000D25B4" w:rsidP="00746F97">
      <w:r>
        <w:separator/>
      </w:r>
    </w:p>
  </w:footnote>
  <w:footnote w:type="continuationSeparator" w:id="0">
    <w:p w14:paraId="36797D9A" w14:textId="77777777" w:rsidR="000D25B4" w:rsidRDefault="000D25B4" w:rsidP="0074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1003"/>
        </w:tabs>
        <w:ind w:left="1003" w:hanging="360"/>
      </w:pPr>
      <w:rPr>
        <w:rFonts w:ascii="Times New Roman" w:hAnsi="Times New Roman" w:cs="Times New Roman"/>
        <w:i w:val="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15:restartNumberingAfterBreak="0">
    <w:nsid w:val="12B13CF7"/>
    <w:multiLevelType w:val="hybridMultilevel"/>
    <w:tmpl w:val="643CCD86"/>
    <w:lvl w:ilvl="0" w:tplc="DCDC63F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3404B5"/>
    <w:multiLevelType w:val="singleLevel"/>
    <w:tmpl w:val="D04A5D68"/>
    <w:lvl w:ilvl="0">
      <w:start w:val="1"/>
      <w:numFmt w:val="upperRoman"/>
      <w:pStyle w:val="Elenco1"/>
      <w:lvlText w:val="%1."/>
      <w:lvlJc w:val="left"/>
      <w:pPr>
        <w:tabs>
          <w:tab w:val="num" w:pos="720"/>
        </w:tabs>
        <w:ind w:left="720" w:hanging="720"/>
      </w:pPr>
      <w:rPr>
        <w:rFonts w:cs="Times New Roman"/>
        <w:b/>
        <w:bCs/>
        <w:i w:val="0"/>
        <w:iCs w:val="0"/>
      </w:rPr>
    </w:lvl>
  </w:abstractNum>
  <w:abstractNum w:abstractNumId="6" w15:restartNumberingAfterBreak="0">
    <w:nsid w:val="338419B5"/>
    <w:multiLevelType w:val="hybridMultilevel"/>
    <w:tmpl w:val="F51A8474"/>
    <w:lvl w:ilvl="0" w:tplc="88D01E6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590572F"/>
    <w:multiLevelType w:val="hybridMultilevel"/>
    <w:tmpl w:val="043E41FE"/>
    <w:lvl w:ilvl="0" w:tplc="454A75A0">
      <w:numFmt w:val="bullet"/>
      <w:pStyle w:val="Titolo41"/>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F0252"/>
    <w:multiLevelType w:val="hybridMultilevel"/>
    <w:tmpl w:val="53381A50"/>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40285F"/>
    <w:multiLevelType w:val="hybridMultilevel"/>
    <w:tmpl w:val="32240648"/>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89444554">
    <w:abstractNumId w:val="7"/>
  </w:num>
  <w:num w:numId="2" w16cid:durableId="542905884">
    <w:abstractNumId w:val="5"/>
  </w:num>
  <w:num w:numId="3" w16cid:durableId="1506749253">
    <w:abstractNumId w:val="9"/>
  </w:num>
  <w:num w:numId="4" w16cid:durableId="567763269">
    <w:abstractNumId w:val="8"/>
  </w:num>
  <w:num w:numId="5" w16cid:durableId="1663728743">
    <w:abstractNumId w:val="6"/>
  </w:num>
  <w:num w:numId="6" w16cid:durableId="3985559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27"/>
    <w:rsid w:val="00000BD8"/>
    <w:rsid w:val="00002188"/>
    <w:rsid w:val="00026BA9"/>
    <w:rsid w:val="00037549"/>
    <w:rsid w:val="000406A6"/>
    <w:rsid w:val="00040FBC"/>
    <w:rsid w:val="00042EDB"/>
    <w:rsid w:val="000449BC"/>
    <w:rsid w:val="00051A18"/>
    <w:rsid w:val="00057816"/>
    <w:rsid w:val="000737D2"/>
    <w:rsid w:val="00076CC2"/>
    <w:rsid w:val="000A176C"/>
    <w:rsid w:val="000A7966"/>
    <w:rsid w:val="000B335A"/>
    <w:rsid w:val="000D25B4"/>
    <w:rsid w:val="000D2C66"/>
    <w:rsid w:val="000E0037"/>
    <w:rsid w:val="000E30D7"/>
    <w:rsid w:val="000F52F3"/>
    <w:rsid w:val="00102EB6"/>
    <w:rsid w:val="00107FFC"/>
    <w:rsid w:val="00110580"/>
    <w:rsid w:val="001135F5"/>
    <w:rsid w:val="00120237"/>
    <w:rsid w:val="00120369"/>
    <w:rsid w:val="00123A3B"/>
    <w:rsid w:val="00126F17"/>
    <w:rsid w:val="001306C0"/>
    <w:rsid w:val="001361C9"/>
    <w:rsid w:val="001429F7"/>
    <w:rsid w:val="00146330"/>
    <w:rsid w:val="00152C12"/>
    <w:rsid w:val="001559A3"/>
    <w:rsid w:val="00160184"/>
    <w:rsid w:val="00161894"/>
    <w:rsid w:val="001644A0"/>
    <w:rsid w:val="00173D63"/>
    <w:rsid w:val="00190E2D"/>
    <w:rsid w:val="001950EA"/>
    <w:rsid w:val="001B42B8"/>
    <w:rsid w:val="001B7E9D"/>
    <w:rsid w:val="001D6964"/>
    <w:rsid w:val="001E1956"/>
    <w:rsid w:val="001E3971"/>
    <w:rsid w:val="001F2C3F"/>
    <w:rsid w:val="001F4D78"/>
    <w:rsid w:val="00212C8D"/>
    <w:rsid w:val="0022097C"/>
    <w:rsid w:val="002241DE"/>
    <w:rsid w:val="00231D0B"/>
    <w:rsid w:val="00242FB4"/>
    <w:rsid w:val="00253246"/>
    <w:rsid w:val="00285BC1"/>
    <w:rsid w:val="00287A4F"/>
    <w:rsid w:val="00296DDA"/>
    <w:rsid w:val="002A60CF"/>
    <w:rsid w:val="002B5385"/>
    <w:rsid w:val="002B7142"/>
    <w:rsid w:val="002B760D"/>
    <w:rsid w:val="002B7FC3"/>
    <w:rsid w:val="002D4C1B"/>
    <w:rsid w:val="002E2FCE"/>
    <w:rsid w:val="002E49C8"/>
    <w:rsid w:val="002F1F32"/>
    <w:rsid w:val="002F27A4"/>
    <w:rsid w:val="00312DEF"/>
    <w:rsid w:val="0034388E"/>
    <w:rsid w:val="003565EB"/>
    <w:rsid w:val="00361F0E"/>
    <w:rsid w:val="00365204"/>
    <w:rsid w:val="00393374"/>
    <w:rsid w:val="00393C27"/>
    <w:rsid w:val="003A0AA1"/>
    <w:rsid w:val="003A1148"/>
    <w:rsid w:val="003A28DA"/>
    <w:rsid w:val="003B7C55"/>
    <w:rsid w:val="003C5E66"/>
    <w:rsid w:val="003D6CED"/>
    <w:rsid w:val="003D7D07"/>
    <w:rsid w:val="003E67E9"/>
    <w:rsid w:val="003F1652"/>
    <w:rsid w:val="003F5F49"/>
    <w:rsid w:val="003F6405"/>
    <w:rsid w:val="004101A5"/>
    <w:rsid w:val="00431FCE"/>
    <w:rsid w:val="00436D46"/>
    <w:rsid w:val="004402B9"/>
    <w:rsid w:val="00452F27"/>
    <w:rsid w:val="0045407E"/>
    <w:rsid w:val="004654D7"/>
    <w:rsid w:val="00467E05"/>
    <w:rsid w:val="00487431"/>
    <w:rsid w:val="00495290"/>
    <w:rsid w:val="004A6490"/>
    <w:rsid w:val="004B17DC"/>
    <w:rsid w:val="004B5B7C"/>
    <w:rsid w:val="004C1A6B"/>
    <w:rsid w:val="004E2411"/>
    <w:rsid w:val="004E31EA"/>
    <w:rsid w:val="004E7584"/>
    <w:rsid w:val="004F55E5"/>
    <w:rsid w:val="00503623"/>
    <w:rsid w:val="00505DC7"/>
    <w:rsid w:val="00542169"/>
    <w:rsid w:val="00554FB2"/>
    <w:rsid w:val="0055560C"/>
    <w:rsid w:val="005556F7"/>
    <w:rsid w:val="00565779"/>
    <w:rsid w:val="00581C56"/>
    <w:rsid w:val="00584CE9"/>
    <w:rsid w:val="005B01BC"/>
    <w:rsid w:val="005B661F"/>
    <w:rsid w:val="005C182B"/>
    <w:rsid w:val="005C1BC8"/>
    <w:rsid w:val="005C2C48"/>
    <w:rsid w:val="005D3EB0"/>
    <w:rsid w:val="005E3487"/>
    <w:rsid w:val="005F79A5"/>
    <w:rsid w:val="00606AF3"/>
    <w:rsid w:val="006104C6"/>
    <w:rsid w:val="00635FB7"/>
    <w:rsid w:val="00645B45"/>
    <w:rsid w:val="0065035D"/>
    <w:rsid w:val="00653B86"/>
    <w:rsid w:val="00666D37"/>
    <w:rsid w:val="00672601"/>
    <w:rsid w:val="006742E8"/>
    <w:rsid w:val="0068003B"/>
    <w:rsid w:val="006800F0"/>
    <w:rsid w:val="00695D63"/>
    <w:rsid w:val="006B55B3"/>
    <w:rsid w:val="006C1CF7"/>
    <w:rsid w:val="006C4439"/>
    <w:rsid w:val="006C465B"/>
    <w:rsid w:val="006D1426"/>
    <w:rsid w:val="006D46AB"/>
    <w:rsid w:val="006D5364"/>
    <w:rsid w:val="00702641"/>
    <w:rsid w:val="00721CF7"/>
    <w:rsid w:val="0073620F"/>
    <w:rsid w:val="00737574"/>
    <w:rsid w:val="00741E18"/>
    <w:rsid w:val="00746F97"/>
    <w:rsid w:val="00755E75"/>
    <w:rsid w:val="00771858"/>
    <w:rsid w:val="00781507"/>
    <w:rsid w:val="00782919"/>
    <w:rsid w:val="007901C4"/>
    <w:rsid w:val="007C401B"/>
    <w:rsid w:val="007C4272"/>
    <w:rsid w:val="007C5FBB"/>
    <w:rsid w:val="007C60D0"/>
    <w:rsid w:val="007D220D"/>
    <w:rsid w:val="007D24F4"/>
    <w:rsid w:val="007E0915"/>
    <w:rsid w:val="007E22D7"/>
    <w:rsid w:val="007E4AD2"/>
    <w:rsid w:val="0080189C"/>
    <w:rsid w:val="008135DB"/>
    <w:rsid w:val="008151EE"/>
    <w:rsid w:val="00822878"/>
    <w:rsid w:val="0082604C"/>
    <w:rsid w:val="008324C5"/>
    <w:rsid w:val="00840EA9"/>
    <w:rsid w:val="0084394F"/>
    <w:rsid w:val="00845465"/>
    <w:rsid w:val="0084636A"/>
    <w:rsid w:val="008479BE"/>
    <w:rsid w:val="00855DBE"/>
    <w:rsid w:val="008741A0"/>
    <w:rsid w:val="008801D5"/>
    <w:rsid w:val="008933E7"/>
    <w:rsid w:val="008B053B"/>
    <w:rsid w:val="008C15E4"/>
    <w:rsid w:val="008D7DFA"/>
    <w:rsid w:val="008E3653"/>
    <w:rsid w:val="008F77F9"/>
    <w:rsid w:val="00900553"/>
    <w:rsid w:val="009061CE"/>
    <w:rsid w:val="009078F5"/>
    <w:rsid w:val="009238C8"/>
    <w:rsid w:val="00924B72"/>
    <w:rsid w:val="00934694"/>
    <w:rsid w:val="00934965"/>
    <w:rsid w:val="00940487"/>
    <w:rsid w:val="0094145E"/>
    <w:rsid w:val="009435FD"/>
    <w:rsid w:val="00947778"/>
    <w:rsid w:val="009507C4"/>
    <w:rsid w:val="00950DDF"/>
    <w:rsid w:val="00957906"/>
    <w:rsid w:val="009609EF"/>
    <w:rsid w:val="00964DEB"/>
    <w:rsid w:val="00964FBD"/>
    <w:rsid w:val="00976011"/>
    <w:rsid w:val="00983B47"/>
    <w:rsid w:val="009A65BA"/>
    <w:rsid w:val="009B7F2D"/>
    <w:rsid w:val="009C5FA7"/>
    <w:rsid w:val="009C6F1E"/>
    <w:rsid w:val="009E2CA3"/>
    <w:rsid w:val="009E5B46"/>
    <w:rsid w:val="009E7A0F"/>
    <w:rsid w:val="009F0E24"/>
    <w:rsid w:val="009F154A"/>
    <w:rsid w:val="00A03285"/>
    <w:rsid w:val="00A057C9"/>
    <w:rsid w:val="00A077CF"/>
    <w:rsid w:val="00A14FA3"/>
    <w:rsid w:val="00A15054"/>
    <w:rsid w:val="00A15130"/>
    <w:rsid w:val="00A16378"/>
    <w:rsid w:val="00A43D6B"/>
    <w:rsid w:val="00A600A4"/>
    <w:rsid w:val="00A6218B"/>
    <w:rsid w:val="00A72158"/>
    <w:rsid w:val="00A75E6E"/>
    <w:rsid w:val="00A8392F"/>
    <w:rsid w:val="00A846BA"/>
    <w:rsid w:val="00A85C83"/>
    <w:rsid w:val="00AA1AD1"/>
    <w:rsid w:val="00AB48F7"/>
    <w:rsid w:val="00AD6C89"/>
    <w:rsid w:val="00AD79B5"/>
    <w:rsid w:val="00AE3D92"/>
    <w:rsid w:val="00AE63DC"/>
    <w:rsid w:val="00AF135A"/>
    <w:rsid w:val="00AF1A30"/>
    <w:rsid w:val="00AF5347"/>
    <w:rsid w:val="00B03D0D"/>
    <w:rsid w:val="00B32FB4"/>
    <w:rsid w:val="00B41B5E"/>
    <w:rsid w:val="00B462E0"/>
    <w:rsid w:val="00B50ED2"/>
    <w:rsid w:val="00B54410"/>
    <w:rsid w:val="00B5762B"/>
    <w:rsid w:val="00B612A0"/>
    <w:rsid w:val="00B621AD"/>
    <w:rsid w:val="00B626DB"/>
    <w:rsid w:val="00B82C37"/>
    <w:rsid w:val="00B92D02"/>
    <w:rsid w:val="00BA3107"/>
    <w:rsid w:val="00BB0A1A"/>
    <w:rsid w:val="00BB3E1A"/>
    <w:rsid w:val="00BB5B08"/>
    <w:rsid w:val="00BC152A"/>
    <w:rsid w:val="00BD49FC"/>
    <w:rsid w:val="00BF54D5"/>
    <w:rsid w:val="00C233AC"/>
    <w:rsid w:val="00C241B2"/>
    <w:rsid w:val="00C345F8"/>
    <w:rsid w:val="00C34635"/>
    <w:rsid w:val="00C43371"/>
    <w:rsid w:val="00C44EB2"/>
    <w:rsid w:val="00C50AD9"/>
    <w:rsid w:val="00C533DE"/>
    <w:rsid w:val="00C60BDA"/>
    <w:rsid w:val="00C61A6A"/>
    <w:rsid w:val="00C654F0"/>
    <w:rsid w:val="00C75A4C"/>
    <w:rsid w:val="00C86047"/>
    <w:rsid w:val="00CA3225"/>
    <w:rsid w:val="00CB042E"/>
    <w:rsid w:val="00CB5174"/>
    <w:rsid w:val="00CB52A6"/>
    <w:rsid w:val="00CC2EEF"/>
    <w:rsid w:val="00CD3792"/>
    <w:rsid w:val="00CE56A5"/>
    <w:rsid w:val="00CF14F7"/>
    <w:rsid w:val="00D0232C"/>
    <w:rsid w:val="00D031DA"/>
    <w:rsid w:val="00D110D1"/>
    <w:rsid w:val="00D16222"/>
    <w:rsid w:val="00D27E80"/>
    <w:rsid w:val="00D344A1"/>
    <w:rsid w:val="00D34D29"/>
    <w:rsid w:val="00D43DFF"/>
    <w:rsid w:val="00D475D9"/>
    <w:rsid w:val="00D5344D"/>
    <w:rsid w:val="00D60EF8"/>
    <w:rsid w:val="00D6155F"/>
    <w:rsid w:val="00D85B80"/>
    <w:rsid w:val="00DB432E"/>
    <w:rsid w:val="00DD028C"/>
    <w:rsid w:val="00DD3C52"/>
    <w:rsid w:val="00DF4F71"/>
    <w:rsid w:val="00E039EF"/>
    <w:rsid w:val="00E05B2C"/>
    <w:rsid w:val="00E17FA9"/>
    <w:rsid w:val="00E20F43"/>
    <w:rsid w:val="00E21EBD"/>
    <w:rsid w:val="00E240B3"/>
    <w:rsid w:val="00E53883"/>
    <w:rsid w:val="00E57F3E"/>
    <w:rsid w:val="00E63614"/>
    <w:rsid w:val="00E70D94"/>
    <w:rsid w:val="00E729FC"/>
    <w:rsid w:val="00E72CAF"/>
    <w:rsid w:val="00E858BB"/>
    <w:rsid w:val="00ED057F"/>
    <w:rsid w:val="00F14E0E"/>
    <w:rsid w:val="00F165C3"/>
    <w:rsid w:val="00F21A37"/>
    <w:rsid w:val="00F57DC1"/>
    <w:rsid w:val="00F7152D"/>
    <w:rsid w:val="00F740D9"/>
    <w:rsid w:val="00F8428A"/>
    <w:rsid w:val="00FA341A"/>
    <w:rsid w:val="00FA6910"/>
    <w:rsid w:val="00FA77D8"/>
    <w:rsid w:val="00FB44CC"/>
    <w:rsid w:val="00FB79E3"/>
    <w:rsid w:val="00FC5F25"/>
    <w:rsid w:val="00FD0277"/>
    <w:rsid w:val="00FE06A0"/>
    <w:rsid w:val="00FE5DF5"/>
    <w:rsid w:val="00FF4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8DB4"/>
  <w15:docId w15:val="{E4468F93-6218-4B18-9A3A-F4A0AD0E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FC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customStyle="1" w:styleId="rtf1Normal">
    <w:name w:val="rtf1 Normal"/>
    <w:next w:val="Normale"/>
    <w:uiPriority w:val="99"/>
    <w:rsid w:val="00190E2D"/>
    <w:pPr>
      <w:widowControl w:val="0"/>
      <w:autoSpaceDE w:val="0"/>
      <w:autoSpaceDN w:val="0"/>
      <w:adjustRightInd w:val="0"/>
    </w:pPr>
    <w:rPr>
      <w:rFonts w:ascii="Times New Roman" w:eastAsia="Times New Roman" w:hAnsi="Times New Roman"/>
      <w:sz w:val="24"/>
      <w:szCs w:val="24"/>
    </w:rPr>
  </w:style>
  <w:style w:type="paragraph" w:customStyle="1" w:styleId="Corpodeltesto21">
    <w:name w:val="Corpo del testo 21"/>
    <w:basedOn w:val="Normale"/>
    <w:rsid w:val="00D16222"/>
    <w:pPr>
      <w:ind w:left="1410" w:hanging="1410"/>
    </w:pPr>
    <w:rPr>
      <w:b/>
      <w:sz w:val="24"/>
    </w:rPr>
  </w:style>
  <w:style w:type="paragraph" w:customStyle="1" w:styleId="Rientrocorpodeltesto21">
    <w:name w:val="Rientro corpo del testo 21"/>
    <w:basedOn w:val="Normale"/>
    <w:rsid w:val="00D16222"/>
    <w:pPr>
      <w:tabs>
        <w:tab w:val="left" w:pos="1080"/>
      </w:tabs>
      <w:ind w:left="360" w:hanging="360"/>
      <w:jc w:val="both"/>
    </w:pPr>
    <w:rPr>
      <w:sz w:val="24"/>
    </w:rPr>
  </w:style>
  <w:style w:type="paragraph" w:customStyle="1" w:styleId="Titolo41">
    <w:name w:val="Titolo 41"/>
    <w:basedOn w:val="Normale"/>
    <w:next w:val="Normale"/>
    <w:rsid w:val="00A43D6B"/>
    <w:pPr>
      <w:keepNext/>
      <w:widowControl w:val="0"/>
      <w:numPr>
        <w:numId w:val="1"/>
      </w:numPr>
      <w:tabs>
        <w:tab w:val="clear" w:pos="720"/>
        <w:tab w:val="num" w:pos="0"/>
      </w:tabs>
      <w:suppressAutoHyphens/>
      <w:autoSpaceDE w:val="0"/>
      <w:spacing w:before="240" w:after="60"/>
      <w:ind w:left="432" w:hanging="432"/>
    </w:pPr>
    <w:rPr>
      <w:b/>
      <w:bCs/>
      <w:sz w:val="24"/>
      <w:szCs w:val="24"/>
      <w:lang w:eastAsia="hi-IN" w:bidi="hi-IN"/>
    </w:rPr>
  </w:style>
  <w:style w:type="paragraph" w:customStyle="1" w:styleId="testo">
    <w:name w:val="testo"/>
    <w:rsid w:val="00554FB2"/>
    <w:pPr>
      <w:ind w:firstLine="397"/>
      <w:jc w:val="both"/>
    </w:pPr>
    <w:rPr>
      <w:rFonts w:ascii="Garamond" w:eastAsia="Times New Roman" w:hAnsi="Garamond"/>
      <w:sz w:val="23"/>
      <w:szCs w:val="23"/>
    </w:rPr>
  </w:style>
  <w:style w:type="table" w:customStyle="1" w:styleId="rtf2TableGrid">
    <w:name w:val="rtf2 Table Grid"/>
    <w:basedOn w:val="Tabellanormale"/>
    <w:uiPriority w:val="39"/>
    <w:rsid w:val="00173D63"/>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746F97"/>
  </w:style>
  <w:style w:type="character" w:customStyle="1" w:styleId="TestonotaapidipaginaCarattere">
    <w:name w:val="Testo nota a piè di pagina Carattere"/>
    <w:basedOn w:val="Carpredefinitoparagrafo"/>
    <w:link w:val="Testonotaapidipagina"/>
    <w:semiHidden/>
    <w:rsid w:val="00746F97"/>
    <w:rPr>
      <w:rFonts w:ascii="Times New Roman" w:eastAsia="Times New Roman" w:hAnsi="Times New Roman"/>
    </w:rPr>
  </w:style>
  <w:style w:type="character" w:styleId="Rimandonotaapidipagina">
    <w:name w:val="footnote reference"/>
    <w:semiHidden/>
    <w:rsid w:val="00746F97"/>
    <w:rPr>
      <w:vertAlign w:val="superscript"/>
    </w:rPr>
  </w:style>
  <w:style w:type="character" w:styleId="Collegamentoipertestuale">
    <w:name w:val="Hyperlink"/>
    <w:uiPriority w:val="99"/>
    <w:unhideWhenUsed/>
    <w:rsid w:val="00746F97"/>
    <w:rPr>
      <w:color w:val="0000FF"/>
      <w:u w:val="single"/>
    </w:rPr>
  </w:style>
  <w:style w:type="paragraph" w:styleId="PreformattatoHTML">
    <w:name w:val="HTML Preformatted"/>
    <w:basedOn w:val="Normale"/>
    <w:link w:val="PreformattatoHTMLCarattere"/>
    <w:uiPriority w:val="99"/>
    <w:semiHidden/>
    <w:unhideWhenUsed/>
    <w:rsid w:val="003A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3A28D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1991;287~art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ormattiva.it/uri-res/N2Ls?urn:nir:presidente.repubblica:decreto:2001-06-06;380" TargetMode="External"/><Relationship Id="rId4" Type="http://schemas.openxmlformats.org/officeDocument/2006/relationships/settings" Target="settings.xml"/><Relationship Id="rId9" Type="http://schemas.openxmlformats.org/officeDocument/2006/relationships/hyperlink" Target="https://www.normattiva.it/uri-res/N2Ls?urn:nir:stato:decreto.legislativo:2004-01-22;4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BDCF-839A-41BE-BAC5-527E5F07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2057</Words>
  <Characters>11731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DELL</cp:lastModifiedBy>
  <cp:revision>8</cp:revision>
  <cp:lastPrinted>2023-03-31T09:14:00Z</cp:lastPrinted>
  <dcterms:created xsi:type="dcterms:W3CDTF">2023-03-22T09:59:00Z</dcterms:created>
  <dcterms:modified xsi:type="dcterms:W3CDTF">2023-03-31T11:32:00Z</dcterms:modified>
</cp:coreProperties>
</file>